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ascii="宋体" w:hAnsi="宋体"/>
          <w:b/>
          <w:spacing w:val="-12"/>
          <w:sz w:val="36"/>
          <w:szCs w:val="36"/>
        </w:rPr>
      </w:pPr>
      <w:r>
        <w:rPr>
          <w:rFonts w:ascii="宋体" w:hAnsi="宋体"/>
          <w:b/>
          <w:spacing w:val="-12"/>
          <w:sz w:val="36"/>
          <w:szCs w:val="36"/>
        </w:rPr>
        <w:drawing>
          <wp:anchor distT="0" distB="0" distL="114300" distR="114300" simplePos="0" relativeHeight="251666432" behindDoc="0" locked="0" layoutInCell="1" allowOverlap="1">
            <wp:simplePos x="0" y="0"/>
            <wp:positionH relativeFrom="column">
              <wp:posOffset>-123825</wp:posOffset>
            </wp:positionH>
            <wp:positionV relativeFrom="paragraph">
              <wp:posOffset>129540</wp:posOffset>
            </wp:positionV>
            <wp:extent cx="4355465" cy="1065530"/>
            <wp:effectExtent l="0" t="0" r="6985" b="1270"/>
            <wp:wrapSquare wrapText="bothSides"/>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1" cstate="print"/>
                    <a:stretch>
                      <a:fillRect/>
                    </a:stretch>
                  </pic:blipFill>
                  <pic:spPr>
                    <a:xfrm>
                      <a:off x="0" y="0"/>
                      <a:ext cx="4355465" cy="1065530"/>
                    </a:xfrm>
                    <a:prstGeom prst="rect">
                      <a:avLst/>
                    </a:prstGeom>
                    <a:noFill/>
                    <a:ln w="9525">
                      <a:noFill/>
                    </a:ln>
                  </pic:spPr>
                </pic:pic>
              </a:graphicData>
            </a:graphic>
          </wp:anchor>
        </w:drawing>
      </w:r>
    </w:p>
    <w:p>
      <w:pPr>
        <w:spacing w:line="480" w:lineRule="exact"/>
        <w:jc w:val="center"/>
        <w:rPr>
          <w:rFonts w:ascii="宋体" w:hAnsi="宋体"/>
          <w:b/>
          <w:spacing w:val="-12"/>
          <w:sz w:val="36"/>
          <w:szCs w:val="36"/>
        </w:rPr>
      </w:pPr>
    </w:p>
    <w:p>
      <w:pPr>
        <w:spacing w:line="480" w:lineRule="exact"/>
        <w:jc w:val="center"/>
        <w:rPr>
          <w:rFonts w:ascii="宋体" w:hAnsi="宋体"/>
          <w:b/>
          <w:spacing w:val="-12"/>
          <w:sz w:val="36"/>
          <w:szCs w:val="36"/>
        </w:rPr>
      </w:pPr>
    </w:p>
    <w:p>
      <w:pPr>
        <w:spacing w:line="480" w:lineRule="exact"/>
        <w:jc w:val="center"/>
        <w:rPr>
          <w:rFonts w:ascii="宋体" w:hAnsi="宋体"/>
          <w:b/>
          <w:spacing w:val="-12"/>
          <w:sz w:val="36"/>
          <w:szCs w:val="36"/>
        </w:rPr>
      </w:pPr>
    </w:p>
    <w:p>
      <w:pPr>
        <w:spacing w:line="480" w:lineRule="exact"/>
        <w:jc w:val="center"/>
        <w:rPr>
          <w:rFonts w:ascii="宋体" w:hAnsi="宋体"/>
          <w:b/>
          <w:spacing w:val="-12"/>
          <w:sz w:val="36"/>
          <w:szCs w:val="36"/>
        </w:rPr>
      </w:pPr>
    </w:p>
    <w:p>
      <w:pPr>
        <w:spacing w:line="360" w:lineRule="auto"/>
        <w:jc w:val="center"/>
        <w:rPr>
          <w:rFonts w:ascii="宋体" w:hAnsi="宋体"/>
          <w:b/>
          <w:spacing w:val="-12"/>
          <w:sz w:val="36"/>
          <w:szCs w:val="36"/>
        </w:rPr>
      </w:pPr>
    </w:p>
    <w:p>
      <w:pPr>
        <w:spacing w:line="360" w:lineRule="auto"/>
        <w:jc w:val="center"/>
        <w:rPr>
          <w:rFonts w:ascii="宋体" w:hAnsi="宋体"/>
          <w:b/>
          <w:spacing w:val="-12"/>
          <w:sz w:val="36"/>
          <w:szCs w:val="36"/>
        </w:rPr>
      </w:pPr>
    </w:p>
    <w:p>
      <w:pPr>
        <w:spacing w:line="360" w:lineRule="auto"/>
        <w:jc w:val="center"/>
        <w:rPr>
          <w:rFonts w:ascii="宋体" w:hAnsi="宋体"/>
          <w:b/>
          <w:spacing w:val="-12"/>
          <w:sz w:val="36"/>
          <w:szCs w:val="36"/>
        </w:rPr>
      </w:pPr>
    </w:p>
    <w:p>
      <w:pPr>
        <w:spacing w:line="360" w:lineRule="auto"/>
        <w:jc w:val="center"/>
        <w:rPr>
          <w:rFonts w:ascii="宋体" w:hAnsi="宋体"/>
          <w:b/>
          <w:spacing w:val="-12"/>
          <w:sz w:val="72"/>
          <w:szCs w:val="72"/>
        </w:rPr>
      </w:pPr>
      <w:r>
        <w:rPr>
          <w:rFonts w:hint="eastAsia" w:ascii="宋体" w:hAnsi="宋体"/>
          <w:b/>
          <w:spacing w:val="-12"/>
          <w:sz w:val="72"/>
          <w:szCs w:val="72"/>
        </w:rPr>
        <w:t>中等职业教育质量年度报告</w:t>
      </w:r>
    </w:p>
    <w:p>
      <w:pPr>
        <w:spacing w:line="360" w:lineRule="auto"/>
        <w:jc w:val="center"/>
        <w:rPr>
          <w:rFonts w:ascii="宋体" w:hAnsi="宋体"/>
          <w:b/>
          <w:spacing w:val="-12"/>
          <w:sz w:val="52"/>
          <w:szCs w:val="52"/>
        </w:rPr>
      </w:pPr>
    </w:p>
    <w:p>
      <w:pPr>
        <w:spacing w:line="360" w:lineRule="auto"/>
        <w:jc w:val="center"/>
        <w:rPr>
          <w:rFonts w:ascii="宋体" w:hAnsi="宋体"/>
          <w:b/>
          <w:spacing w:val="-12"/>
          <w:sz w:val="52"/>
          <w:szCs w:val="52"/>
        </w:rPr>
      </w:pPr>
      <w:r>
        <w:rPr>
          <w:rFonts w:hint="eastAsia" w:ascii="宋体" w:hAnsi="宋体"/>
          <w:b/>
          <w:spacing w:val="-12"/>
          <w:sz w:val="52"/>
          <w:szCs w:val="52"/>
        </w:rPr>
        <w:t>（2020年）</w:t>
      </w:r>
    </w:p>
    <w:p>
      <w:pPr>
        <w:spacing w:line="360" w:lineRule="auto"/>
        <w:jc w:val="center"/>
        <w:rPr>
          <w:rFonts w:ascii="宋体" w:hAnsi="宋体"/>
          <w:b/>
          <w:spacing w:val="-12"/>
          <w:sz w:val="52"/>
          <w:szCs w:val="52"/>
        </w:rPr>
      </w:pPr>
    </w:p>
    <w:p>
      <w:pPr>
        <w:spacing w:line="360" w:lineRule="auto"/>
        <w:jc w:val="center"/>
        <w:rPr>
          <w:rFonts w:ascii="宋体" w:hAnsi="宋体"/>
          <w:b/>
          <w:spacing w:val="-12"/>
          <w:sz w:val="52"/>
          <w:szCs w:val="52"/>
        </w:rPr>
      </w:pPr>
    </w:p>
    <w:p>
      <w:pPr>
        <w:spacing w:line="360" w:lineRule="auto"/>
        <w:jc w:val="center"/>
        <w:rPr>
          <w:rFonts w:ascii="宋体" w:hAnsi="宋体"/>
          <w:b/>
          <w:spacing w:val="-12"/>
          <w:sz w:val="52"/>
          <w:szCs w:val="52"/>
        </w:rPr>
      </w:pPr>
    </w:p>
    <w:p>
      <w:pPr>
        <w:spacing w:line="360" w:lineRule="auto"/>
        <w:jc w:val="center"/>
        <w:rPr>
          <w:rFonts w:ascii="宋体" w:hAnsi="宋体"/>
          <w:b/>
          <w:spacing w:val="-12"/>
          <w:sz w:val="52"/>
          <w:szCs w:val="52"/>
        </w:rPr>
      </w:pPr>
    </w:p>
    <w:p>
      <w:pPr>
        <w:spacing w:line="360" w:lineRule="auto"/>
        <w:jc w:val="center"/>
        <w:rPr>
          <w:rFonts w:ascii="宋体" w:hAnsi="宋体"/>
          <w:b/>
          <w:sz w:val="52"/>
          <w:szCs w:val="52"/>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588" w:header="851" w:footer="992" w:gutter="0"/>
          <w:pgNumType w:chapStyle="1"/>
          <w:cols w:space="720" w:num="1"/>
          <w:titlePg/>
          <w:docGrid w:type="lines" w:linePitch="312" w:charSpace="0"/>
        </w:sectPr>
      </w:pPr>
      <w:r>
        <w:rPr>
          <w:rFonts w:hint="eastAsia" w:ascii="宋体" w:hAnsi="宋体"/>
          <w:b/>
          <w:sz w:val="52"/>
          <w:szCs w:val="52"/>
        </w:rPr>
        <w:t>2020年12月</w:t>
      </w:r>
    </w:p>
    <w:sdt>
      <w:sdtPr>
        <w:rPr>
          <w:rFonts w:ascii="宋体" w:hAnsi="宋体" w:eastAsia="宋体"/>
        </w:rPr>
        <w:id w:val="147460087"/>
        <w:docPartObj>
          <w:docPartGallery w:val="Table of Contents"/>
          <w:docPartUnique/>
        </w:docPartObj>
      </w:sdtPr>
      <w:sdtEndPr>
        <w:rPr>
          <w:rFonts w:ascii="宋体" w:hAnsi="宋体" w:eastAsia="宋体"/>
        </w:rPr>
      </w:sdtEndPr>
      <w:sdtContent>
        <w:p>
          <w:pPr>
            <w:jc w:val="center"/>
          </w:pPr>
          <w:r>
            <w:rPr>
              <w:rFonts w:ascii="宋体" w:hAnsi="宋体" w:eastAsia="宋体"/>
            </w:rPr>
            <w:t>目录</w:t>
          </w:r>
        </w:p>
        <w:p>
          <w:pPr>
            <w:pStyle w:val="11"/>
            <w:tabs>
              <w:tab w:val="right" w:leader="dot" w:pos="9236"/>
            </w:tabs>
          </w:pPr>
          <w:r>
            <w:fldChar w:fldCharType="begin"/>
          </w:r>
          <w:r>
            <w:instrText xml:space="preserve">TOC \o "1-3" \h \u </w:instrText>
          </w:r>
          <w:r>
            <w:fldChar w:fldCharType="separate"/>
          </w:r>
        </w:p>
        <w:p>
          <w:pPr>
            <w:pStyle w:val="11"/>
            <w:tabs>
              <w:tab w:val="right" w:leader="dot" w:pos="9236"/>
            </w:tabs>
          </w:pPr>
          <w:r>
            <w:fldChar w:fldCharType="begin"/>
          </w:r>
          <w:r>
            <w:instrText xml:space="preserve"> HYPERLINK \l "_Toc27567" </w:instrText>
          </w:r>
          <w:r>
            <w:fldChar w:fldCharType="separate"/>
          </w:r>
          <w:r>
            <w:rPr>
              <w:rFonts w:hint="eastAsia" w:ascii="宋体" w:cs="宋体"/>
              <w:bCs/>
              <w:szCs w:val="28"/>
              <w:lang w:val="zh-CN"/>
            </w:rPr>
            <w:t>一、基本情况</w:t>
          </w:r>
          <w:r>
            <w:tab/>
          </w:r>
          <w:r>
            <w:fldChar w:fldCharType="end"/>
          </w:r>
        </w:p>
        <w:p>
          <w:pPr>
            <w:pStyle w:val="12"/>
            <w:tabs>
              <w:tab w:val="right" w:leader="dot" w:pos="9236"/>
            </w:tabs>
            <w:ind w:left="420"/>
          </w:pPr>
          <w:r>
            <w:fldChar w:fldCharType="begin"/>
          </w:r>
          <w:r>
            <w:instrText xml:space="preserve"> HYPERLINK \l "_Toc8777" </w:instrText>
          </w:r>
          <w:r>
            <w:fldChar w:fldCharType="separate"/>
          </w:r>
          <w:r>
            <w:rPr>
              <w:rFonts w:hint="eastAsia" w:ascii="宋体" w:hAnsi="??_GB2312" w:cs="宋体"/>
              <w:bCs/>
              <w:szCs w:val="28"/>
              <w:lang w:val="zh-CN"/>
            </w:rPr>
            <w:t>1.1</w:t>
          </w:r>
          <w:r>
            <w:rPr>
              <w:rFonts w:hint="eastAsia" w:ascii="宋体" w:hAnsi="??_GB2312" w:cs="宋体"/>
              <w:bCs/>
              <w:szCs w:val="28"/>
            </w:rPr>
            <w:t xml:space="preserve"> </w:t>
          </w:r>
          <w:r>
            <w:rPr>
              <w:rFonts w:hint="eastAsia" w:ascii="宋体" w:hAnsi="??_GB2312" w:cs="宋体"/>
              <w:bCs/>
              <w:szCs w:val="28"/>
              <w:lang w:val="zh-CN"/>
            </w:rPr>
            <w:t>学校概况</w:t>
          </w:r>
          <w:r>
            <w:tab/>
          </w:r>
          <w:r>
            <w:fldChar w:fldCharType="end"/>
          </w:r>
        </w:p>
        <w:p>
          <w:pPr>
            <w:pStyle w:val="12"/>
            <w:tabs>
              <w:tab w:val="right" w:leader="dot" w:pos="9236"/>
            </w:tabs>
            <w:ind w:left="420"/>
          </w:pPr>
          <w:r>
            <w:fldChar w:fldCharType="begin"/>
          </w:r>
          <w:r>
            <w:instrText xml:space="preserve"> HYPERLINK \l "_Toc26509" </w:instrText>
          </w:r>
          <w:r>
            <w:fldChar w:fldCharType="separate"/>
          </w:r>
          <w:r>
            <w:rPr>
              <w:rFonts w:hint="eastAsia" w:ascii="宋体" w:hAnsi="??_GB2312" w:cs="宋体"/>
              <w:bCs/>
              <w:szCs w:val="28"/>
              <w:lang w:val="zh-CN"/>
            </w:rPr>
            <w:t>1.2</w:t>
          </w:r>
          <w:r>
            <w:rPr>
              <w:rFonts w:hint="eastAsia" w:ascii="宋体" w:hAnsi="??_GB2312" w:cs="宋体"/>
              <w:bCs/>
              <w:szCs w:val="28"/>
            </w:rPr>
            <w:t xml:space="preserve"> </w:t>
          </w:r>
          <w:r>
            <w:rPr>
              <w:rFonts w:hint="eastAsia" w:ascii="宋体" w:hAnsi="??_GB2312" w:cs="宋体"/>
              <w:bCs/>
              <w:szCs w:val="28"/>
              <w:lang w:val="zh-CN"/>
            </w:rPr>
            <w:t>学生情况</w:t>
          </w:r>
          <w:r>
            <w:tab/>
          </w:r>
          <w:r>
            <w:fldChar w:fldCharType="end"/>
          </w:r>
        </w:p>
        <w:p>
          <w:pPr>
            <w:pStyle w:val="12"/>
            <w:tabs>
              <w:tab w:val="right" w:leader="dot" w:pos="9236"/>
            </w:tabs>
            <w:ind w:left="420"/>
          </w:pPr>
          <w:r>
            <w:fldChar w:fldCharType="begin"/>
          </w:r>
          <w:r>
            <w:instrText xml:space="preserve"> HYPERLINK \l "_Toc18743" </w:instrText>
          </w:r>
          <w:r>
            <w:fldChar w:fldCharType="separate"/>
          </w:r>
          <w:r>
            <w:rPr>
              <w:rFonts w:hint="eastAsia" w:ascii="宋体" w:hAnsi="??_GB2312" w:cs="宋体"/>
              <w:bCs/>
              <w:szCs w:val="28"/>
              <w:lang w:val="zh-CN"/>
            </w:rPr>
            <w:t>1.3</w:t>
          </w:r>
          <w:r>
            <w:rPr>
              <w:rFonts w:hint="eastAsia" w:ascii="宋体" w:hAnsi="??_GB2312" w:cs="宋体"/>
              <w:bCs/>
              <w:szCs w:val="28"/>
            </w:rPr>
            <w:t xml:space="preserve"> </w:t>
          </w:r>
          <w:r>
            <w:rPr>
              <w:rFonts w:hint="eastAsia" w:ascii="宋体" w:hAnsi="??_GB2312" w:cs="宋体"/>
              <w:bCs/>
              <w:szCs w:val="28"/>
              <w:lang w:val="zh-CN"/>
            </w:rPr>
            <w:t>教师队伍</w:t>
          </w:r>
          <w:r>
            <w:tab/>
          </w:r>
          <w:r>
            <w:fldChar w:fldCharType="end"/>
          </w:r>
        </w:p>
        <w:p>
          <w:pPr>
            <w:pStyle w:val="12"/>
            <w:tabs>
              <w:tab w:val="right" w:leader="dot" w:pos="9236"/>
            </w:tabs>
            <w:ind w:left="420"/>
          </w:pPr>
          <w:r>
            <w:fldChar w:fldCharType="begin"/>
          </w:r>
          <w:r>
            <w:instrText xml:space="preserve"> HYPERLINK \l "_Toc2505" </w:instrText>
          </w:r>
          <w:r>
            <w:fldChar w:fldCharType="separate"/>
          </w:r>
          <w:r>
            <w:rPr>
              <w:rFonts w:hint="eastAsia" w:ascii="宋体" w:hAnsi="??_GB2312" w:cs="宋体"/>
              <w:bCs/>
              <w:szCs w:val="28"/>
              <w:lang w:val="zh-CN"/>
            </w:rPr>
            <w:t>1.4</w:t>
          </w:r>
          <w:r>
            <w:rPr>
              <w:rFonts w:hint="eastAsia" w:ascii="宋体" w:hAnsi="??_GB2312" w:cs="宋体"/>
              <w:bCs/>
              <w:szCs w:val="28"/>
            </w:rPr>
            <w:t xml:space="preserve"> </w:t>
          </w:r>
          <w:r>
            <w:rPr>
              <w:rFonts w:hint="eastAsia" w:ascii="宋体" w:hAnsi="??_GB2312" w:cs="宋体"/>
              <w:bCs/>
              <w:szCs w:val="28"/>
              <w:lang w:val="zh-CN"/>
            </w:rPr>
            <w:t>设施设备</w:t>
          </w:r>
          <w:r>
            <w:tab/>
          </w:r>
          <w:r>
            <w:fldChar w:fldCharType="end"/>
          </w:r>
        </w:p>
        <w:p>
          <w:pPr>
            <w:pStyle w:val="11"/>
            <w:tabs>
              <w:tab w:val="right" w:leader="dot" w:pos="9236"/>
            </w:tabs>
          </w:pPr>
          <w:r>
            <w:fldChar w:fldCharType="begin"/>
          </w:r>
          <w:r>
            <w:instrText xml:space="preserve"> HYPERLINK \l "_Toc27030" </w:instrText>
          </w:r>
          <w:r>
            <w:fldChar w:fldCharType="separate"/>
          </w:r>
          <w:r>
            <w:rPr>
              <w:rFonts w:hint="eastAsia" w:ascii="宋体" w:hAnsi="??_GB2312" w:cs="宋体"/>
              <w:szCs w:val="28"/>
              <w:lang w:val="zh-CN"/>
            </w:rPr>
            <w:t>二、学生发展</w:t>
          </w:r>
          <w:r>
            <w:tab/>
          </w:r>
          <w:r>
            <w:fldChar w:fldCharType="end"/>
          </w:r>
        </w:p>
        <w:p>
          <w:pPr>
            <w:pStyle w:val="12"/>
            <w:tabs>
              <w:tab w:val="right" w:leader="dot" w:pos="9236"/>
            </w:tabs>
            <w:ind w:left="420"/>
          </w:pPr>
          <w:r>
            <w:fldChar w:fldCharType="begin"/>
          </w:r>
          <w:r>
            <w:instrText xml:space="preserve"> HYPERLINK \l "_Toc12050" </w:instrText>
          </w:r>
          <w:r>
            <w:fldChar w:fldCharType="separate"/>
          </w:r>
          <w:r>
            <w:rPr>
              <w:rFonts w:hint="eastAsia" w:ascii="宋体" w:hAnsi="??_GB2312" w:cs="宋体"/>
              <w:bCs/>
              <w:szCs w:val="28"/>
            </w:rPr>
            <w:t>2</w:t>
          </w:r>
          <w:r>
            <w:rPr>
              <w:rFonts w:hint="eastAsia" w:ascii="宋体" w:hAnsi="??_GB2312" w:cs="宋体"/>
              <w:bCs/>
              <w:szCs w:val="28"/>
              <w:lang w:val="zh-CN"/>
            </w:rPr>
            <w:t>.1</w:t>
          </w:r>
          <w:r>
            <w:rPr>
              <w:rFonts w:hint="eastAsia" w:ascii="宋体" w:hAnsi="??_GB2312" w:cs="宋体"/>
              <w:bCs/>
              <w:szCs w:val="28"/>
            </w:rPr>
            <w:t xml:space="preserve"> </w:t>
          </w:r>
          <w:r>
            <w:rPr>
              <w:rFonts w:hint="eastAsia" w:ascii="宋体" w:hAnsi="??_GB2312" w:cs="宋体"/>
              <w:bCs/>
              <w:szCs w:val="28"/>
              <w:lang w:val="zh-CN"/>
            </w:rPr>
            <w:t>学生素质</w:t>
          </w:r>
          <w:r>
            <w:tab/>
          </w:r>
          <w:r>
            <w:fldChar w:fldCharType="end"/>
          </w:r>
        </w:p>
        <w:p>
          <w:pPr>
            <w:pStyle w:val="12"/>
            <w:tabs>
              <w:tab w:val="right" w:leader="dot" w:pos="9236"/>
            </w:tabs>
            <w:ind w:left="420"/>
          </w:pPr>
          <w:r>
            <w:fldChar w:fldCharType="begin"/>
          </w:r>
          <w:r>
            <w:instrText xml:space="preserve"> HYPERLINK \l "_Toc5023" </w:instrText>
          </w:r>
          <w:r>
            <w:fldChar w:fldCharType="separate"/>
          </w:r>
          <w:r>
            <w:rPr>
              <w:rFonts w:hint="eastAsia" w:ascii="宋体" w:hAnsi="??_GB2312" w:cs="宋体"/>
              <w:bCs/>
              <w:szCs w:val="28"/>
            </w:rPr>
            <w:t>2</w:t>
          </w:r>
          <w:r>
            <w:rPr>
              <w:rFonts w:hint="eastAsia" w:ascii="宋体" w:hAnsi="??_GB2312" w:cs="宋体"/>
              <w:bCs/>
              <w:szCs w:val="28"/>
              <w:lang w:val="zh-CN"/>
            </w:rPr>
            <w:t>.2</w:t>
          </w:r>
          <w:r>
            <w:rPr>
              <w:rFonts w:hint="eastAsia" w:ascii="宋体" w:hAnsi="??_GB2312" w:cs="宋体"/>
              <w:bCs/>
              <w:szCs w:val="28"/>
            </w:rPr>
            <w:t xml:space="preserve"> </w:t>
          </w:r>
          <w:r>
            <w:rPr>
              <w:rFonts w:hint="eastAsia" w:ascii="宋体" w:hAnsi="??_GB2312" w:cs="宋体"/>
              <w:bCs/>
              <w:szCs w:val="28"/>
              <w:lang w:val="zh-CN"/>
            </w:rPr>
            <w:t>在校体验</w:t>
          </w:r>
          <w:r>
            <w:tab/>
          </w:r>
          <w:r>
            <w:fldChar w:fldCharType="end"/>
          </w:r>
        </w:p>
        <w:p>
          <w:pPr>
            <w:pStyle w:val="12"/>
            <w:tabs>
              <w:tab w:val="right" w:leader="dot" w:pos="9236"/>
            </w:tabs>
            <w:ind w:left="420"/>
          </w:pPr>
          <w:r>
            <w:fldChar w:fldCharType="begin"/>
          </w:r>
          <w:r>
            <w:instrText xml:space="preserve"> HYPERLINK \l "_Toc23528" </w:instrText>
          </w:r>
          <w:r>
            <w:fldChar w:fldCharType="separate"/>
          </w:r>
          <w:r>
            <w:rPr>
              <w:rFonts w:hint="eastAsia" w:ascii="宋体" w:hAnsi="??_GB2312" w:cs="宋体"/>
              <w:bCs/>
              <w:szCs w:val="28"/>
            </w:rPr>
            <w:t>2</w:t>
          </w:r>
          <w:r>
            <w:rPr>
              <w:rFonts w:hint="eastAsia" w:ascii="宋体" w:hAnsi="??_GB2312" w:cs="宋体"/>
              <w:bCs/>
              <w:szCs w:val="28"/>
              <w:lang w:val="zh-CN"/>
            </w:rPr>
            <w:t>.3</w:t>
          </w:r>
          <w:r>
            <w:rPr>
              <w:rFonts w:hint="eastAsia" w:ascii="宋体" w:hAnsi="??_GB2312" w:cs="宋体"/>
              <w:bCs/>
              <w:szCs w:val="28"/>
            </w:rPr>
            <w:t xml:space="preserve"> </w:t>
          </w:r>
          <w:r>
            <w:rPr>
              <w:rFonts w:hint="eastAsia" w:ascii="宋体" w:hAnsi="??_GB2312" w:cs="宋体"/>
              <w:bCs/>
              <w:szCs w:val="28"/>
              <w:lang w:val="zh-CN"/>
            </w:rPr>
            <w:t>资助情况</w:t>
          </w:r>
          <w:r>
            <w:tab/>
          </w:r>
          <w:r>
            <w:fldChar w:fldCharType="end"/>
          </w:r>
        </w:p>
        <w:p>
          <w:pPr>
            <w:pStyle w:val="12"/>
            <w:tabs>
              <w:tab w:val="right" w:leader="dot" w:pos="9236"/>
            </w:tabs>
            <w:ind w:left="420"/>
          </w:pPr>
          <w:r>
            <w:fldChar w:fldCharType="begin"/>
          </w:r>
          <w:r>
            <w:instrText xml:space="preserve"> HYPERLINK \l "_Toc8819" </w:instrText>
          </w:r>
          <w:r>
            <w:fldChar w:fldCharType="separate"/>
          </w:r>
          <w:r>
            <w:rPr>
              <w:rFonts w:hint="eastAsia" w:ascii="宋体" w:hAnsi="??_GB2312" w:cs="宋体"/>
              <w:bCs/>
              <w:szCs w:val="28"/>
            </w:rPr>
            <w:t>2</w:t>
          </w:r>
          <w:r>
            <w:rPr>
              <w:rFonts w:hint="eastAsia" w:ascii="宋体" w:hAnsi="??_GB2312" w:cs="宋体"/>
              <w:bCs/>
              <w:szCs w:val="28"/>
              <w:lang w:val="zh-CN"/>
            </w:rPr>
            <w:t>.4</w:t>
          </w:r>
          <w:r>
            <w:rPr>
              <w:rFonts w:hint="eastAsia" w:ascii="宋体" w:hAnsi="??_GB2312" w:cs="宋体"/>
              <w:bCs/>
              <w:szCs w:val="28"/>
            </w:rPr>
            <w:t xml:space="preserve"> </w:t>
          </w:r>
          <w:r>
            <w:rPr>
              <w:rFonts w:hint="eastAsia" w:ascii="宋体" w:hAnsi="??_GB2312" w:cs="宋体"/>
              <w:bCs/>
              <w:szCs w:val="28"/>
              <w:lang w:val="zh-CN"/>
            </w:rPr>
            <w:t>就业质量</w:t>
          </w:r>
          <w:r>
            <w:tab/>
          </w:r>
          <w:r>
            <w:fldChar w:fldCharType="end"/>
          </w:r>
        </w:p>
        <w:p>
          <w:pPr>
            <w:pStyle w:val="12"/>
            <w:tabs>
              <w:tab w:val="right" w:leader="dot" w:pos="9236"/>
            </w:tabs>
            <w:ind w:left="420"/>
          </w:pPr>
          <w:r>
            <w:fldChar w:fldCharType="begin"/>
          </w:r>
          <w:r>
            <w:instrText xml:space="preserve"> HYPERLINK \l "_Toc11540" </w:instrText>
          </w:r>
          <w:r>
            <w:fldChar w:fldCharType="separate"/>
          </w:r>
          <w:r>
            <w:rPr>
              <w:rFonts w:hint="eastAsia" w:ascii="宋体" w:hAnsi="??_GB2312" w:cs="宋体"/>
              <w:bCs/>
              <w:szCs w:val="28"/>
            </w:rPr>
            <w:t>2</w:t>
          </w:r>
          <w:r>
            <w:rPr>
              <w:rFonts w:hint="eastAsia" w:ascii="宋体" w:hAnsi="??_GB2312" w:cs="宋体"/>
              <w:bCs/>
              <w:szCs w:val="28"/>
              <w:lang w:val="zh-CN"/>
            </w:rPr>
            <w:t>.5</w:t>
          </w:r>
          <w:r>
            <w:rPr>
              <w:rFonts w:hint="eastAsia" w:ascii="宋体" w:hAnsi="??_GB2312" w:cs="宋体"/>
              <w:bCs/>
              <w:szCs w:val="28"/>
            </w:rPr>
            <w:t xml:space="preserve"> </w:t>
          </w:r>
          <w:r>
            <w:rPr>
              <w:rFonts w:hint="eastAsia" w:ascii="宋体" w:hAnsi="??_GB2312" w:cs="宋体"/>
              <w:bCs/>
              <w:szCs w:val="28"/>
              <w:lang w:val="zh-CN"/>
            </w:rPr>
            <w:t>职业发展</w:t>
          </w:r>
          <w:r>
            <w:tab/>
          </w:r>
          <w:r>
            <w:fldChar w:fldCharType="end"/>
          </w:r>
        </w:p>
        <w:p>
          <w:pPr>
            <w:pStyle w:val="11"/>
            <w:tabs>
              <w:tab w:val="right" w:leader="dot" w:pos="9236"/>
            </w:tabs>
          </w:pPr>
          <w:r>
            <w:fldChar w:fldCharType="begin"/>
          </w:r>
          <w:r>
            <w:instrText xml:space="preserve"> HYPERLINK \l "_Toc32022" </w:instrText>
          </w:r>
          <w:r>
            <w:fldChar w:fldCharType="separate"/>
          </w:r>
          <w:r>
            <w:rPr>
              <w:rFonts w:hint="eastAsia" w:ascii="宋体" w:cs="宋体"/>
              <w:bCs/>
              <w:szCs w:val="28"/>
              <w:lang w:val="zh-CN"/>
            </w:rPr>
            <w:t>三、质量保障措施</w:t>
          </w:r>
          <w:r>
            <w:tab/>
          </w:r>
          <w:r>
            <w:fldChar w:fldCharType="end"/>
          </w:r>
        </w:p>
        <w:p>
          <w:pPr>
            <w:pStyle w:val="12"/>
            <w:tabs>
              <w:tab w:val="right" w:leader="dot" w:pos="9236"/>
            </w:tabs>
            <w:ind w:left="420"/>
          </w:pPr>
          <w:r>
            <w:fldChar w:fldCharType="begin"/>
          </w:r>
          <w:r>
            <w:instrText xml:space="preserve"> HYPERLINK \l "_Toc23884" </w:instrText>
          </w:r>
          <w:r>
            <w:fldChar w:fldCharType="separate"/>
          </w:r>
          <w:r>
            <w:rPr>
              <w:rFonts w:hint="eastAsia" w:ascii="宋体" w:hAnsi="??_GB2312" w:cs="宋体"/>
              <w:bCs/>
              <w:szCs w:val="28"/>
            </w:rPr>
            <w:t>3</w:t>
          </w:r>
          <w:r>
            <w:rPr>
              <w:rFonts w:hint="eastAsia" w:ascii="宋体" w:hAnsi="??_GB2312" w:cs="宋体"/>
              <w:bCs/>
              <w:szCs w:val="28"/>
              <w:lang w:val="zh-CN"/>
            </w:rPr>
            <w:t>.</w:t>
          </w:r>
          <w:r>
            <w:rPr>
              <w:rFonts w:hint="eastAsia" w:ascii="宋体" w:hAnsi="??_GB2312" w:cs="宋体"/>
              <w:bCs/>
              <w:szCs w:val="28"/>
            </w:rPr>
            <w:t>1</w:t>
          </w:r>
          <w:r>
            <w:rPr>
              <w:rFonts w:hint="eastAsia" w:ascii="宋体" w:hAnsi="??_GB2312" w:cs="宋体"/>
              <w:bCs/>
              <w:szCs w:val="28"/>
              <w:lang w:val="zh-CN"/>
            </w:rPr>
            <w:t>专业动态调整</w:t>
          </w:r>
          <w:r>
            <w:tab/>
          </w:r>
          <w:r>
            <w:fldChar w:fldCharType="end"/>
          </w:r>
        </w:p>
        <w:p>
          <w:pPr>
            <w:pStyle w:val="12"/>
            <w:tabs>
              <w:tab w:val="right" w:leader="dot" w:pos="9236"/>
            </w:tabs>
            <w:ind w:left="420"/>
          </w:pPr>
          <w:r>
            <w:fldChar w:fldCharType="begin"/>
          </w:r>
          <w:r>
            <w:instrText xml:space="preserve"> HYPERLINK \l "_Toc11306" </w:instrText>
          </w:r>
          <w:r>
            <w:fldChar w:fldCharType="separate"/>
          </w:r>
          <w:r>
            <w:rPr>
              <w:rFonts w:hint="eastAsia" w:ascii="宋体" w:hAnsi="??_GB2312" w:cs="宋体"/>
              <w:bCs/>
              <w:szCs w:val="28"/>
            </w:rPr>
            <w:t>3</w:t>
          </w:r>
          <w:r>
            <w:rPr>
              <w:rFonts w:hint="eastAsia" w:ascii="宋体" w:hAnsi="??_GB2312" w:cs="宋体"/>
              <w:bCs/>
              <w:szCs w:val="28"/>
              <w:lang w:val="zh-CN"/>
            </w:rPr>
            <w:t>.</w:t>
          </w:r>
          <w:r>
            <w:rPr>
              <w:rFonts w:hint="eastAsia" w:ascii="宋体" w:hAnsi="??_GB2312" w:cs="宋体"/>
              <w:bCs/>
              <w:szCs w:val="28"/>
            </w:rPr>
            <w:t xml:space="preserve">2 </w:t>
          </w:r>
          <w:r>
            <w:rPr>
              <w:rFonts w:hint="eastAsia" w:ascii="宋体" w:hAnsi="??_GB2312" w:cs="宋体"/>
              <w:bCs/>
              <w:szCs w:val="28"/>
              <w:lang w:val="zh-CN"/>
            </w:rPr>
            <w:t>教育教学改革</w:t>
          </w:r>
          <w:r>
            <w:tab/>
          </w:r>
          <w:r>
            <w:fldChar w:fldCharType="end"/>
          </w:r>
        </w:p>
        <w:p>
          <w:pPr>
            <w:pStyle w:val="12"/>
            <w:tabs>
              <w:tab w:val="right" w:leader="dot" w:pos="9236"/>
            </w:tabs>
            <w:ind w:left="420"/>
          </w:pPr>
          <w:r>
            <w:fldChar w:fldCharType="begin"/>
          </w:r>
          <w:r>
            <w:instrText xml:space="preserve"> HYPERLINK \l "_Toc4221" </w:instrText>
          </w:r>
          <w:r>
            <w:fldChar w:fldCharType="separate"/>
          </w:r>
          <w:r>
            <w:rPr>
              <w:rFonts w:hint="eastAsia" w:ascii="宋体" w:hAnsi="??_GB2312" w:cs="宋体"/>
              <w:bCs/>
              <w:szCs w:val="28"/>
            </w:rPr>
            <w:t>3</w:t>
          </w:r>
          <w:r>
            <w:rPr>
              <w:rFonts w:hint="eastAsia" w:ascii="宋体" w:hAnsi="??_GB2312" w:cs="宋体"/>
              <w:bCs/>
              <w:szCs w:val="28"/>
              <w:lang w:val="zh-CN"/>
            </w:rPr>
            <w:t>.</w:t>
          </w:r>
          <w:r>
            <w:rPr>
              <w:rFonts w:hint="eastAsia" w:ascii="宋体" w:hAnsi="??_GB2312" w:cs="宋体"/>
              <w:bCs/>
              <w:szCs w:val="28"/>
            </w:rPr>
            <w:t>3</w:t>
          </w:r>
          <w:r>
            <w:rPr>
              <w:rFonts w:hint="eastAsia" w:ascii="宋体" w:hAnsi="??_GB2312" w:cs="宋体"/>
              <w:bCs/>
              <w:szCs w:val="28"/>
              <w:lang w:val="zh-CN"/>
            </w:rPr>
            <w:t>教师培养培训</w:t>
          </w:r>
          <w:r>
            <w:tab/>
          </w:r>
          <w:r>
            <w:fldChar w:fldCharType="end"/>
          </w:r>
        </w:p>
        <w:p>
          <w:pPr>
            <w:pStyle w:val="13"/>
            <w:tabs>
              <w:tab w:val="right" w:leader="dot" w:pos="9236"/>
            </w:tabs>
            <w:ind w:left="840"/>
          </w:pPr>
          <w:r>
            <w:fldChar w:fldCharType="begin"/>
          </w:r>
          <w:r>
            <w:instrText xml:space="preserve"> HYPERLINK \l "_Toc21104" </w:instrText>
          </w:r>
          <w:r>
            <w:fldChar w:fldCharType="separate"/>
          </w:r>
          <w:r>
            <w:rPr>
              <w:rFonts w:hint="eastAsia"/>
              <w:bCs/>
              <w:szCs w:val="28"/>
            </w:rPr>
            <w:t>（一）县域培训，积极完成</w:t>
          </w:r>
          <w:r>
            <w:tab/>
          </w:r>
          <w:r>
            <w:fldChar w:fldCharType="end"/>
          </w:r>
        </w:p>
        <w:p>
          <w:pPr>
            <w:pStyle w:val="13"/>
            <w:tabs>
              <w:tab w:val="right" w:leader="dot" w:pos="9236"/>
            </w:tabs>
            <w:ind w:left="840"/>
          </w:pPr>
          <w:r>
            <w:fldChar w:fldCharType="begin"/>
          </w:r>
          <w:r>
            <w:instrText xml:space="preserve"> HYPERLINK \l "_Toc23241" </w:instrText>
          </w:r>
          <w:r>
            <w:fldChar w:fldCharType="separate"/>
          </w:r>
          <w:r>
            <w:rPr>
              <w:rFonts w:hint="eastAsia"/>
              <w:bCs/>
              <w:szCs w:val="28"/>
            </w:rPr>
            <w:t>（二）骨干名师，全力打造</w:t>
          </w:r>
          <w:r>
            <w:tab/>
          </w:r>
          <w:r>
            <w:fldChar w:fldCharType="end"/>
          </w:r>
        </w:p>
        <w:p>
          <w:pPr>
            <w:pStyle w:val="13"/>
            <w:tabs>
              <w:tab w:val="right" w:leader="dot" w:pos="9236"/>
            </w:tabs>
            <w:ind w:left="840"/>
          </w:pPr>
          <w:r>
            <w:fldChar w:fldCharType="begin"/>
          </w:r>
          <w:r>
            <w:instrText xml:space="preserve"> HYPERLINK \l "_Toc18007" </w:instrText>
          </w:r>
          <w:r>
            <w:fldChar w:fldCharType="separate"/>
          </w:r>
          <w:r>
            <w:rPr>
              <w:rFonts w:hint="eastAsia"/>
              <w:bCs/>
              <w:szCs w:val="28"/>
            </w:rPr>
            <w:t>（三）青年教师，积极培养</w:t>
          </w:r>
          <w:r>
            <w:tab/>
          </w:r>
          <w:r>
            <w:fldChar w:fldCharType="end"/>
          </w:r>
        </w:p>
        <w:p>
          <w:pPr>
            <w:pStyle w:val="12"/>
            <w:tabs>
              <w:tab w:val="right" w:leader="dot" w:pos="9236"/>
            </w:tabs>
            <w:ind w:left="420"/>
          </w:pPr>
          <w:r>
            <w:fldChar w:fldCharType="begin"/>
          </w:r>
          <w:r>
            <w:instrText xml:space="preserve"> HYPERLINK \l "_Toc26703" </w:instrText>
          </w:r>
          <w:r>
            <w:fldChar w:fldCharType="separate"/>
          </w:r>
          <w:r>
            <w:rPr>
              <w:rFonts w:hint="eastAsia" w:ascii="宋体" w:hAnsi="??_GB2312" w:cs="宋体"/>
              <w:bCs/>
              <w:szCs w:val="28"/>
            </w:rPr>
            <w:t>3</w:t>
          </w:r>
          <w:r>
            <w:rPr>
              <w:rFonts w:hint="eastAsia" w:ascii="宋体" w:hAnsi="??_GB2312" w:cs="宋体"/>
              <w:bCs/>
              <w:szCs w:val="28"/>
              <w:lang w:val="zh-CN"/>
            </w:rPr>
            <w:t>.</w:t>
          </w:r>
          <w:r>
            <w:rPr>
              <w:rFonts w:hint="eastAsia" w:ascii="宋体" w:hAnsi="??_GB2312" w:cs="宋体"/>
              <w:bCs/>
              <w:szCs w:val="28"/>
            </w:rPr>
            <w:t xml:space="preserve">4 </w:t>
          </w:r>
          <w:r>
            <w:rPr>
              <w:rFonts w:hint="eastAsia" w:ascii="宋体" w:hAnsi="??_GB2312" w:cs="宋体"/>
              <w:bCs/>
              <w:szCs w:val="28"/>
              <w:lang w:val="zh-CN"/>
            </w:rPr>
            <w:t>规范管理情况</w:t>
          </w:r>
          <w:r>
            <w:tab/>
          </w:r>
          <w:r>
            <w:fldChar w:fldCharType="end"/>
          </w:r>
        </w:p>
        <w:p>
          <w:pPr>
            <w:pStyle w:val="12"/>
            <w:tabs>
              <w:tab w:val="right" w:leader="dot" w:pos="9236"/>
            </w:tabs>
            <w:ind w:left="420"/>
          </w:pPr>
          <w:r>
            <w:fldChar w:fldCharType="begin"/>
          </w:r>
          <w:r>
            <w:instrText xml:space="preserve"> HYPERLINK \l "_Toc15663" </w:instrText>
          </w:r>
          <w:r>
            <w:fldChar w:fldCharType="separate"/>
          </w:r>
          <w:r>
            <w:rPr>
              <w:rFonts w:hint="eastAsia" w:ascii="宋体" w:hAnsi="??_GB2312" w:cs="宋体"/>
              <w:bCs/>
              <w:szCs w:val="28"/>
            </w:rPr>
            <w:t>3.5 德育工作情况</w:t>
          </w:r>
          <w:r>
            <w:tab/>
          </w:r>
          <w:r>
            <w:fldChar w:fldCharType="end"/>
          </w:r>
        </w:p>
        <w:p>
          <w:pPr>
            <w:pStyle w:val="13"/>
            <w:tabs>
              <w:tab w:val="right" w:leader="dot" w:pos="9236"/>
            </w:tabs>
            <w:ind w:left="840"/>
          </w:pPr>
          <w:r>
            <w:fldChar w:fldCharType="begin"/>
          </w:r>
          <w:r>
            <w:instrText xml:space="preserve"> HYPERLINK \l "_Toc5157" </w:instrText>
          </w:r>
          <w:r>
            <w:fldChar w:fldCharType="separate"/>
          </w:r>
          <w:r>
            <w:rPr>
              <w:rFonts w:hint="eastAsia" w:ascii="宋体" w:hAnsi="??_GB2312" w:cs="宋体"/>
              <w:szCs w:val="28"/>
            </w:rPr>
            <w:t>（一）以“四有”为主线</w:t>
          </w:r>
          <w:r>
            <w:tab/>
          </w:r>
          <w:r>
            <w:fldChar w:fldCharType="end"/>
          </w:r>
        </w:p>
        <w:p>
          <w:pPr>
            <w:pStyle w:val="13"/>
            <w:tabs>
              <w:tab w:val="right" w:leader="dot" w:pos="9236"/>
            </w:tabs>
            <w:ind w:left="840"/>
          </w:pPr>
          <w:r>
            <w:fldChar w:fldCharType="begin"/>
          </w:r>
          <w:r>
            <w:instrText xml:space="preserve"> HYPERLINK \l "_Toc15538" </w:instrText>
          </w:r>
          <w:r>
            <w:fldChar w:fldCharType="separate"/>
          </w:r>
          <w:r>
            <w:rPr>
              <w:rFonts w:hint="eastAsia" w:ascii="宋体" w:hAnsi="??_GB2312" w:cs="宋体"/>
              <w:szCs w:val="28"/>
            </w:rPr>
            <w:t>（二）</w:t>
          </w:r>
          <w:r>
            <w:rPr>
              <w:rFonts w:hint="eastAsia" w:ascii="宋体" w:hAnsi="??_GB2312" w:cs="宋体"/>
              <w:sz w:val="20"/>
              <w:szCs w:val="20"/>
            </w:rPr>
            <w:t>以“八径”为主</w:t>
          </w:r>
          <w:r>
            <w:rPr>
              <w:rFonts w:hint="eastAsia" w:ascii="宋体" w:hAnsi="??_GB2312" w:cs="宋体"/>
              <w:sz w:val="20"/>
              <w:szCs w:val="20"/>
              <w:lang w:eastAsia="zh-CN"/>
            </w:rPr>
            <w:t>径</w:t>
          </w:r>
          <w:r>
            <w:tab/>
          </w:r>
          <w:r>
            <w:fldChar w:fldCharType="end"/>
          </w:r>
        </w:p>
        <w:p>
          <w:pPr>
            <w:pStyle w:val="12"/>
            <w:tabs>
              <w:tab w:val="right" w:leader="dot" w:pos="9236"/>
            </w:tabs>
            <w:ind w:left="420"/>
          </w:pPr>
          <w:r>
            <w:fldChar w:fldCharType="begin"/>
          </w:r>
          <w:r>
            <w:instrText xml:space="preserve"> HYPERLINK \l "_Toc28720" </w:instrText>
          </w:r>
          <w:r>
            <w:fldChar w:fldCharType="separate"/>
          </w:r>
          <w:r>
            <w:rPr>
              <w:rFonts w:hint="eastAsia" w:ascii="宋体" w:hAnsi="??_GB2312" w:cs="宋体"/>
              <w:bCs/>
              <w:szCs w:val="28"/>
            </w:rPr>
            <w:t>3.6 党建情况</w:t>
          </w:r>
          <w:r>
            <w:tab/>
          </w:r>
          <w:r>
            <w:fldChar w:fldCharType="end"/>
          </w:r>
        </w:p>
        <w:p>
          <w:pPr>
            <w:pStyle w:val="13"/>
            <w:tabs>
              <w:tab w:val="right" w:leader="dot" w:pos="9236"/>
            </w:tabs>
            <w:ind w:left="840"/>
          </w:pPr>
          <w:r>
            <w:fldChar w:fldCharType="begin"/>
          </w:r>
          <w:r>
            <w:instrText xml:space="preserve"> HYPERLINK \l "_Toc28153" </w:instrText>
          </w:r>
          <w:r>
            <w:fldChar w:fldCharType="separate"/>
          </w:r>
          <w:r>
            <w:rPr>
              <w:rFonts w:hint="eastAsia" w:ascii="宋体" w:hAnsi="??_GB2312" w:cs="宋体"/>
              <w:bCs/>
              <w:szCs w:val="28"/>
              <w:lang w:val="zh-CN"/>
            </w:rPr>
            <w:t>1.健全党建管理体制</w:t>
          </w:r>
          <w:r>
            <w:tab/>
          </w:r>
          <w:r>
            <w:fldChar w:fldCharType="end"/>
          </w:r>
        </w:p>
        <w:p>
          <w:pPr>
            <w:pStyle w:val="13"/>
            <w:tabs>
              <w:tab w:val="right" w:leader="dot" w:pos="9236"/>
            </w:tabs>
            <w:ind w:left="840"/>
          </w:pPr>
          <w:r>
            <w:fldChar w:fldCharType="begin"/>
          </w:r>
          <w:r>
            <w:instrText xml:space="preserve"> HYPERLINK \l "_Toc3266" </w:instrText>
          </w:r>
          <w:r>
            <w:fldChar w:fldCharType="separate"/>
          </w:r>
          <w:r>
            <w:rPr>
              <w:rFonts w:hint="eastAsia" w:ascii="宋体" w:hAnsi="??_GB2312" w:cs="宋体"/>
              <w:bCs/>
              <w:szCs w:val="28"/>
              <w:lang w:val="zh-CN"/>
            </w:rPr>
            <w:t>2.推动德育思政工作</w:t>
          </w:r>
          <w:r>
            <w:tab/>
          </w:r>
          <w:r>
            <w:fldChar w:fldCharType="end"/>
          </w:r>
        </w:p>
        <w:p>
          <w:pPr>
            <w:pStyle w:val="13"/>
            <w:tabs>
              <w:tab w:val="right" w:leader="dot" w:pos="9236"/>
            </w:tabs>
            <w:ind w:left="840"/>
          </w:pPr>
          <w:r>
            <w:fldChar w:fldCharType="begin"/>
          </w:r>
          <w:r>
            <w:instrText xml:space="preserve"> HYPERLINK \l "_Toc1321" </w:instrText>
          </w:r>
          <w:r>
            <w:fldChar w:fldCharType="separate"/>
          </w:r>
          <w:r>
            <w:rPr>
              <w:rFonts w:hint="eastAsia" w:ascii="宋体" w:hAnsi="??_GB2312" w:cs="宋体"/>
              <w:bCs/>
              <w:szCs w:val="28"/>
              <w:lang w:val="zh-CN"/>
            </w:rPr>
            <w:t>3.加强党的组织建设</w:t>
          </w:r>
          <w:r>
            <w:tab/>
          </w:r>
          <w:r>
            <w:fldChar w:fldCharType="end"/>
          </w:r>
        </w:p>
        <w:p>
          <w:pPr>
            <w:pStyle w:val="13"/>
            <w:tabs>
              <w:tab w:val="right" w:leader="dot" w:pos="9236"/>
            </w:tabs>
            <w:ind w:left="840"/>
          </w:pPr>
          <w:r>
            <w:fldChar w:fldCharType="begin"/>
          </w:r>
          <w:r>
            <w:instrText xml:space="preserve"> HYPERLINK \l "_Toc1573" </w:instrText>
          </w:r>
          <w:r>
            <w:fldChar w:fldCharType="separate"/>
          </w:r>
          <w:r>
            <w:rPr>
              <w:rFonts w:hint="eastAsia" w:ascii="宋体" w:hAnsi="??_GB2312" w:cs="宋体"/>
              <w:szCs w:val="28"/>
              <w:lang w:val="zh-CN"/>
            </w:rPr>
            <w:t>（1）三联系制度</w:t>
          </w:r>
          <w:r>
            <w:tab/>
          </w:r>
          <w:r>
            <w:fldChar w:fldCharType="end"/>
          </w:r>
        </w:p>
        <w:p>
          <w:pPr>
            <w:pStyle w:val="13"/>
            <w:tabs>
              <w:tab w:val="right" w:leader="dot" w:pos="9236"/>
            </w:tabs>
            <w:ind w:left="840"/>
          </w:pPr>
          <w:r>
            <w:fldChar w:fldCharType="begin"/>
          </w:r>
          <w:r>
            <w:instrText xml:space="preserve"> HYPERLINK \l "_Toc19274" </w:instrText>
          </w:r>
          <w:r>
            <w:fldChar w:fldCharType="separate"/>
          </w:r>
          <w:r>
            <w:rPr>
              <w:rFonts w:hint="eastAsia" w:ascii="宋体" w:hAnsi="??_GB2312" w:cs="宋体"/>
              <w:szCs w:val="28"/>
              <w:lang w:val="zh-CN"/>
            </w:rPr>
            <w:t>（2）党史讲坛</w:t>
          </w:r>
          <w:r>
            <w:tab/>
          </w:r>
          <w:r>
            <w:fldChar w:fldCharType="end"/>
          </w:r>
        </w:p>
        <w:p>
          <w:pPr>
            <w:pStyle w:val="13"/>
            <w:tabs>
              <w:tab w:val="right" w:leader="dot" w:pos="9236"/>
            </w:tabs>
            <w:ind w:left="840"/>
          </w:pPr>
          <w:r>
            <w:fldChar w:fldCharType="begin"/>
          </w:r>
          <w:r>
            <w:instrText xml:space="preserve"> HYPERLINK \l "_Toc20348" </w:instrText>
          </w:r>
          <w:r>
            <w:fldChar w:fldCharType="separate"/>
          </w:r>
          <w:r>
            <w:rPr>
              <w:rFonts w:hint="eastAsia" w:ascii="宋体" w:hAnsi="??_GB2312" w:cs="宋体"/>
              <w:bCs/>
              <w:szCs w:val="28"/>
              <w:lang w:val="zh-CN"/>
            </w:rPr>
            <w:t>4.发挥政治核心作用</w:t>
          </w:r>
          <w:r>
            <w:tab/>
          </w:r>
          <w:r>
            <w:fldChar w:fldCharType="end"/>
          </w:r>
        </w:p>
        <w:p>
          <w:pPr>
            <w:pStyle w:val="11"/>
            <w:tabs>
              <w:tab w:val="right" w:leader="dot" w:pos="9236"/>
            </w:tabs>
          </w:pPr>
          <w:r>
            <w:fldChar w:fldCharType="begin"/>
          </w:r>
          <w:r>
            <w:instrText xml:space="preserve"> HYPERLINK \l "_Toc1074" </w:instrText>
          </w:r>
          <w:r>
            <w:fldChar w:fldCharType="separate"/>
          </w:r>
          <w:r>
            <w:rPr>
              <w:rFonts w:hint="eastAsia" w:ascii="宋体" w:hAnsi="??_GB2312" w:cs="宋体"/>
              <w:bCs/>
              <w:szCs w:val="28"/>
              <w:lang w:val="zh-CN"/>
            </w:rPr>
            <w:t>四、校企合作</w:t>
          </w:r>
          <w:r>
            <w:tab/>
          </w:r>
          <w:r>
            <w:fldChar w:fldCharType="end"/>
          </w:r>
        </w:p>
        <w:p>
          <w:pPr>
            <w:pStyle w:val="12"/>
            <w:tabs>
              <w:tab w:val="right" w:leader="dot" w:pos="9236"/>
            </w:tabs>
            <w:ind w:left="420"/>
          </w:pPr>
          <w:r>
            <w:fldChar w:fldCharType="begin"/>
          </w:r>
          <w:r>
            <w:instrText xml:space="preserve"> HYPERLINK \l "_Toc11678" </w:instrText>
          </w:r>
          <w:r>
            <w:fldChar w:fldCharType="separate"/>
          </w:r>
          <w:r>
            <w:rPr>
              <w:rFonts w:hint="eastAsia" w:ascii="宋体" w:hAnsi="??_GB2312" w:cs="宋体"/>
              <w:szCs w:val="28"/>
            </w:rPr>
            <w:t>4</w:t>
          </w:r>
          <w:r>
            <w:rPr>
              <w:rFonts w:hint="eastAsia" w:ascii="宋体" w:hAnsi="??_GB2312" w:cs="宋体"/>
              <w:szCs w:val="28"/>
              <w:lang w:val="zh-CN"/>
            </w:rPr>
            <w:t>.1</w:t>
          </w:r>
          <w:r>
            <w:rPr>
              <w:rFonts w:hint="eastAsia" w:ascii="宋体" w:hAnsi="??_GB2312" w:cs="宋体"/>
              <w:szCs w:val="28"/>
            </w:rPr>
            <w:t xml:space="preserve"> </w:t>
          </w:r>
          <w:r>
            <w:rPr>
              <w:rFonts w:hint="eastAsia" w:ascii="宋体" w:hAnsi="??_GB2312" w:cs="宋体"/>
              <w:szCs w:val="28"/>
              <w:lang w:val="zh-CN"/>
            </w:rPr>
            <w:t>校企合作开展情况和效果</w:t>
          </w:r>
          <w:r>
            <w:tab/>
          </w:r>
          <w:r>
            <w:fldChar w:fldCharType="end"/>
          </w:r>
        </w:p>
        <w:p>
          <w:pPr>
            <w:pStyle w:val="12"/>
            <w:tabs>
              <w:tab w:val="right" w:leader="dot" w:pos="9236"/>
            </w:tabs>
            <w:ind w:left="420"/>
          </w:pPr>
          <w:r>
            <w:fldChar w:fldCharType="begin"/>
          </w:r>
          <w:r>
            <w:instrText xml:space="preserve"> HYPERLINK \l "_Toc30823" </w:instrText>
          </w:r>
          <w:r>
            <w:fldChar w:fldCharType="separate"/>
          </w:r>
          <w:r>
            <w:rPr>
              <w:rFonts w:hint="eastAsia" w:ascii="宋体" w:hAnsi="??_GB2312" w:cs="宋体"/>
              <w:szCs w:val="28"/>
            </w:rPr>
            <w:t>4</w:t>
          </w:r>
          <w:r>
            <w:rPr>
              <w:rFonts w:hint="eastAsia" w:ascii="宋体" w:hAnsi="??_GB2312" w:cs="宋体"/>
              <w:szCs w:val="28"/>
              <w:lang w:val="zh-CN"/>
            </w:rPr>
            <w:t>.</w:t>
          </w:r>
          <w:r>
            <w:rPr>
              <w:rFonts w:hint="eastAsia" w:ascii="宋体" w:hAnsi="??_GB2312" w:cs="宋体"/>
              <w:szCs w:val="28"/>
            </w:rPr>
            <w:t xml:space="preserve">2 </w:t>
          </w:r>
          <w:r>
            <w:rPr>
              <w:rFonts w:hint="eastAsia" w:ascii="宋体" w:hAnsi="??_GB2312" w:cs="宋体"/>
              <w:szCs w:val="28"/>
              <w:lang w:val="zh-CN"/>
            </w:rPr>
            <w:t>学生实习情况</w:t>
          </w:r>
          <w:r>
            <w:tab/>
          </w:r>
          <w:r>
            <w:fldChar w:fldCharType="end"/>
          </w:r>
        </w:p>
        <w:p>
          <w:pPr>
            <w:pStyle w:val="11"/>
            <w:tabs>
              <w:tab w:val="right" w:leader="dot" w:pos="9236"/>
            </w:tabs>
          </w:pPr>
          <w:r>
            <w:fldChar w:fldCharType="begin"/>
          </w:r>
          <w:r>
            <w:instrText xml:space="preserve"> HYPERLINK \l "_Toc10709" </w:instrText>
          </w:r>
          <w:r>
            <w:fldChar w:fldCharType="separate"/>
          </w:r>
          <w:r>
            <w:rPr>
              <w:rFonts w:hint="eastAsia" w:ascii="宋体" w:hAnsi="??_GB2312" w:cs="宋体"/>
              <w:bCs/>
              <w:szCs w:val="28"/>
              <w:lang w:val="zh-CN"/>
            </w:rPr>
            <w:t>五、社会贡献</w:t>
          </w:r>
          <w:r>
            <w:tab/>
          </w:r>
          <w:r>
            <w:fldChar w:fldCharType="end"/>
          </w:r>
        </w:p>
        <w:p>
          <w:pPr>
            <w:pStyle w:val="12"/>
            <w:tabs>
              <w:tab w:val="right" w:leader="dot" w:pos="9236"/>
            </w:tabs>
            <w:ind w:left="420"/>
          </w:pPr>
          <w:r>
            <w:fldChar w:fldCharType="begin"/>
          </w:r>
          <w:r>
            <w:instrText xml:space="preserve"> HYPERLINK \l "_Toc27487" </w:instrText>
          </w:r>
          <w:r>
            <w:fldChar w:fldCharType="separate"/>
          </w:r>
          <w:r>
            <w:rPr>
              <w:rFonts w:hint="eastAsia" w:ascii="??_GB2312" w:hAnsi="??_GB2312" w:cs="??_GB2312"/>
              <w:bCs/>
              <w:szCs w:val="28"/>
            </w:rPr>
            <w:t>5.1 人才培养</w:t>
          </w:r>
          <w:r>
            <w:tab/>
          </w:r>
          <w:r>
            <w:fldChar w:fldCharType="end"/>
          </w:r>
        </w:p>
        <w:p>
          <w:pPr>
            <w:pStyle w:val="12"/>
            <w:tabs>
              <w:tab w:val="right" w:leader="dot" w:pos="9236"/>
            </w:tabs>
            <w:ind w:left="420"/>
          </w:pPr>
        </w:p>
        <w:p>
          <w:pPr>
            <w:pStyle w:val="12"/>
            <w:tabs>
              <w:tab w:val="right" w:leader="dot" w:pos="9236"/>
            </w:tabs>
            <w:ind w:left="420"/>
          </w:pPr>
          <w:r>
            <w:fldChar w:fldCharType="begin"/>
          </w:r>
          <w:r>
            <w:instrText xml:space="preserve"> HYPERLINK \l "_Toc18579" </w:instrText>
          </w:r>
          <w:r>
            <w:fldChar w:fldCharType="separate"/>
          </w:r>
          <w:r>
            <w:rPr>
              <w:rFonts w:hint="eastAsia" w:ascii="??_GB2312" w:hAnsi="??_GB2312" w:cs="??_GB2312"/>
              <w:bCs/>
              <w:szCs w:val="28"/>
            </w:rPr>
            <w:t>5.2 社会服务</w:t>
          </w:r>
          <w:r>
            <w:tab/>
          </w:r>
          <w:r>
            <w:fldChar w:fldCharType="end"/>
          </w:r>
        </w:p>
        <w:p>
          <w:pPr>
            <w:pStyle w:val="12"/>
            <w:tabs>
              <w:tab w:val="right" w:leader="dot" w:pos="9236"/>
            </w:tabs>
            <w:ind w:left="420"/>
          </w:pPr>
          <w:r>
            <w:fldChar w:fldCharType="begin"/>
          </w:r>
          <w:r>
            <w:instrText xml:space="preserve"> HYPERLINK \l "_Toc26162" </w:instrText>
          </w:r>
          <w:r>
            <w:fldChar w:fldCharType="separate"/>
          </w:r>
          <w:r>
            <w:rPr>
              <w:rFonts w:hint="eastAsia" w:ascii="??_GB2312" w:hAnsi="??_GB2312" w:cs="??_GB2312"/>
              <w:bCs/>
              <w:szCs w:val="28"/>
            </w:rPr>
            <w:t>5.3 对口支援</w:t>
          </w:r>
          <w:r>
            <w:tab/>
          </w:r>
          <w:r>
            <w:fldChar w:fldCharType="end"/>
          </w:r>
        </w:p>
        <w:p>
          <w:pPr>
            <w:pStyle w:val="12"/>
            <w:tabs>
              <w:tab w:val="right" w:leader="dot" w:pos="9236"/>
            </w:tabs>
            <w:ind w:left="420"/>
          </w:pPr>
          <w:r>
            <w:fldChar w:fldCharType="begin"/>
          </w:r>
          <w:r>
            <w:instrText xml:space="preserve"> HYPERLINK \l "_Toc2356" </w:instrText>
          </w:r>
          <w:r>
            <w:fldChar w:fldCharType="separate"/>
          </w:r>
          <w:r>
            <w:rPr>
              <w:rFonts w:hint="eastAsia" w:ascii="??_GB2312" w:hAnsi="??_GB2312" w:cs="??_GB2312"/>
              <w:bCs/>
              <w:szCs w:val="28"/>
            </w:rPr>
            <w:t>5.4 服务抗疫</w:t>
          </w:r>
          <w:r>
            <w:tab/>
          </w:r>
          <w:r>
            <w:fldChar w:fldCharType="end"/>
          </w:r>
        </w:p>
        <w:p>
          <w:pPr>
            <w:pStyle w:val="11"/>
            <w:tabs>
              <w:tab w:val="right" w:leader="dot" w:pos="9236"/>
            </w:tabs>
          </w:pPr>
          <w:r>
            <w:fldChar w:fldCharType="begin"/>
          </w:r>
          <w:r>
            <w:instrText xml:space="preserve"> HYPERLINK \l "_Toc27119" </w:instrText>
          </w:r>
          <w:r>
            <w:fldChar w:fldCharType="separate"/>
          </w:r>
          <w:r>
            <w:rPr>
              <w:rFonts w:hint="eastAsia" w:ascii="宋体" w:hAnsi="??_GB2312" w:cs="宋体"/>
              <w:bCs/>
              <w:szCs w:val="28"/>
              <w:lang w:val="zh-CN"/>
            </w:rPr>
            <w:t>六、举办者履责</w:t>
          </w:r>
          <w:r>
            <w:tab/>
          </w:r>
          <w:r>
            <w:fldChar w:fldCharType="end"/>
          </w:r>
        </w:p>
        <w:p>
          <w:pPr>
            <w:pStyle w:val="12"/>
            <w:tabs>
              <w:tab w:val="right" w:leader="dot" w:pos="9236"/>
            </w:tabs>
            <w:ind w:left="420"/>
          </w:pPr>
          <w:r>
            <w:fldChar w:fldCharType="begin"/>
          </w:r>
          <w:r>
            <w:instrText xml:space="preserve"> HYPERLINK \l "_Toc14145" </w:instrText>
          </w:r>
          <w:r>
            <w:fldChar w:fldCharType="separate"/>
          </w:r>
          <w:r>
            <w:rPr>
              <w:rFonts w:hint="eastAsia" w:ascii="??_GB2312" w:hAnsi="??_GB2312" w:cs="??_GB2312"/>
              <w:szCs w:val="28"/>
            </w:rPr>
            <w:t>6.1 经费保障</w:t>
          </w:r>
          <w:r>
            <w:tab/>
          </w:r>
          <w:r>
            <w:fldChar w:fldCharType="end"/>
          </w:r>
        </w:p>
        <w:p>
          <w:pPr>
            <w:pStyle w:val="12"/>
            <w:tabs>
              <w:tab w:val="right" w:leader="dot" w:pos="9236"/>
            </w:tabs>
            <w:ind w:left="420"/>
          </w:pPr>
          <w:r>
            <w:fldChar w:fldCharType="begin"/>
          </w:r>
          <w:r>
            <w:instrText xml:space="preserve"> HYPERLINK \l "_Toc32311" </w:instrText>
          </w:r>
          <w:r>
            <w:fldChar w:fldCharType="separate"/>
          </w:r>
          <w:r>
            <w:rPr>
              <w:rFonts w:hint="eastAsia" w:ascii="宋体" w:hAnsi="??_GB2312" w:cs="宋体"/>
              <w:szCs w:val="28"/>
            </w:rPr>
            <w:t>6</w:t>
          </w:r>
          <w:r>
            <w:rPr>
              <w:rFonts w:hint="eastAsia" w:ascii="宋体" w:hAnsi="??_GB2312" w:cs="宋体"/>
              <w:szCs w:val="28"/>
              <w:lang w:val="zh-CN"/>
            </w:rPr>
            <w:t>.2</w:t>
          </w:r>
          <w:r>
            <w:rPr>
              <w:rFonts w:hint="eastAsia" w:ascii="宋体" w:hAnsi="??_GB2312" w:cs="宋体"/>
              <w:szCs w:val="28"/>
            </w:rPr>
            <w:t xml:space="preserve"> </w:t>
          </w:r>
          <w:r>
            <w:rPr>
              <w:rFonts w:hint="eastAsia" w:ascii="宋体" w:hAnsi="??_GB2312" w:cs="宋体"/>
              <w:szCs w:val="28"/>
              <w:lang w:val="zh-CN"/>
            </w:rPr>
            <w:t>政策措施</w:t>
          </w:r>
          <w:r>
            <w:tab/>
          </w:r>
          <w:r>
            <w:fldChar w:fldCharType="end"/>
          </w:r>
        </w:p>
        <w:p>
          <w:pPr>
            <w:pStyle w:val="11"/>
            <w:tabs>
              <w:tab w:val="right" w:leader="dot" w:pos="9236"/>
            </w:tabs>
          </w:pPr>
          <w:r>
            <w:fldChar w:fldCharType="begin"/>
          </w:r>
          <w:r>
            <w:instrText xml:space="preserve"> HYPERLINK \l "_Toc30277" </w:instrText>
          </w:r>
          <w:r>
            <w:fldChar w:fldCharType="separate"/>
          </w:r>
          <w:r>
            <w:rPr>
              <w:rFonts w:hint="eastAsia" w:ascii="宋体" w:hAnsi="??_GB2312" w:cs="宋体"/>
              <w:bCs/>
              <w:szCs w:val="28"/>
              <w:lang w:val="zh-CN"/>
            </w:rPr>
            <w:t>七、特色创新</w:t>
          </w:r>
          <w:r>
            <w:tab/>
          </w:r>
          <w:r>
            <w:fldChar w:fldCharType="end"/>
          </w:r>
        </w:p>
        <w:p>
          <w:pPr>
            <w:pStyle w:val="12"/>
            <w:tabs>
              <w:tab w:val="right" w:leader="dot" w:pos="9236"/>
            </w:tabs>
            <w:ind w:left="420"/>
          </w:pPr>
          <w:r>
            <w:fldChar w:fldCharType="begin"/>
          </w:r>
          <w:r>
            <w:instrText xml:space="preserve"> HYPERLINK \l "_Toc23100" </w:instrText>
          </w:r>
          <w:r>
            <w:fldChar w:fldCharType="separate"/>
          </w:r>
          <w:r>
            <w:rPr>
              <w:rFonts w:hint="eastAsia" w:ascii="宋体" w:hAnsi="宋体" w:cs="宋体"/>
              <w:bCs/>
              <w:szCs w:val="28"/>
            </w:rPr>
            <w:t>1.完善人才培养方案，切合企业用人需求</w:t>
          </w:r>
          <w:r>
            <w:tab/>
          </w:r>
          <w:r>
            <w:fldChar w:fldCharType="end"/>
          </w:r>
        </w:p>
        <w:p>
          <w:pPr>
            <w:pStyle w:val="12"/>
            <w:tabs>
              <w:tab w:val="right" w:leader="dot" w:pos="9236"/>
            </w:tabs>
            <w:ind w:left="420"/>
          </w:pPr>
          <w:r>
            <w:fldChar w:fldCharType="begin"/>
          </w:r>
          <w:r>
            <w:instrText xml:space="preserve"> HYPERLINK \l "_Toc28966" </w:instrText>
          </w:r>
          <w:r>
            <w:fldChar w:fldCharType="separate"/>
          </w:r>
          <w:r>
            <w:rPr>
              <w:rFonts w:hint="eastAsia" w:ascii="宋体" w:hAnsi="宋体" w:cs="宋体"/>
              <w:bCs/>
              <w:szCs w:val="28"/>
            </w:rPr>
            <w:t>2.实施“四层递进”实践教学，强化岗位技能培养</w:t>
          </w:r>
          <w:r>
            <w:tab/>
          </w:r>
          <w:r>
            <w:fldChar w:fldCharType="end"/>
          </w:r>
        </w:p>
        <w:p>
          <w:pPr>
            <w:pStyle w:val="12"/>
            <w:tabs>
              <w:tab w:val="right" w:leader="dot" w:pos="9236"/>
            </w:tabs>
            <w:ind w:left="420"/>
          </w:pPr>
          <w:r>
            <w:fldChar w:fldCharType="begin"/>
          </w:r>
          <w:r>
            <w:instrText xml:space="preserve"> HYPERLINK \l "_Toc11881" </w:instrText>
          </w:r>
          <w:r>
            <w:fldChar w:fldCharType="separate"/>
          </w:r>
          <w:r>
            <w:rPr>
              <w:rFonts w:hint="eastAsia" w:ascii="宋体" w:hAnsi="宋体" w:cs="宋体"/>
              <w:bCs/>
              <w:szCs w:val="28"/>
            </w:rPr>
            <w:t>3.重构专业核心课程体系，推行教学“双轨制”</w:t>
          </w:r>
          <w:r>
            <w:tab/>
          </w:r>
          <w:r>
            <w:fldChar w:fldCharType="end"/>
          </w:r>
        </w:p>
        <w:p>
          <w:pPr>
            <w:pStyle w:val="11"/>
            <w:tabs>
              <w:tab w:val="right" w:leader="dot" w:pos="9236"/>
            </w:tabs>
          </w:pPr>
          <w:r>
            <w:fldChar w:fldCharType="begin"/>
          </w:r>
          <w:r>
            <w:instrText xml:space="preserve"> HYPERLINK \l "_Toc20814" </w:instrText>
          </w:r>
          <w:r>
            <w:fldChar w:fldCharType="separate"/>
          </w:r>
          <w:r>
            <w:rPr>
              <w:rFonts w:hint="eastAsia" w:ascii="宋体" w:hAnsi="??_GB2312" w:cs="宋体"/>
              <w:bCs/>
              <w:szCs w:val="28"/>
              <w:lang w:val="zh-CN"/>
            </w:rPr>
            <w:t>八、 主要问题和改进措施</w:t>
          </w:r>
          <w:r>
            <w:tab/>
          </w:r>
          <w:r>
            <w:fldChar w:fldCharType="end"/>
          </w:r>
        </w:p>
        <w:p>
          <w:pPr>
            <w:sectPr>
              <w:footerReference r:id="rId9" w:type="default"/>
              <w:pgSz w:w="12240" w:h="15840"/>
              <w:pgMar w:top="1417" w:right="1417" w:bottom="1417" w:left="1587" w:header="720" w:footer="720" w:gutter="0"/>
              <w:pgNumType w:start="1"/>
              <w:cols w:space="720" w:num="1"/>
            </w:sectPr>
          </w:pPr>
          <w:r>
            <w:fldChar w:fldCharType="end"/>
          </w:r>
        </w:p>
      </w:sdtContent>
    </w:sdt>
    <w:p/>
    <w:p>
      <w:pPr>
        <w:autoSpaceDE w:val="0"/>
        <w:autoSpaceDN w:val="0"/>
        <w:adjustRightInd w:val="0"/>
        <w:spacing w:line="480" w:lineRule="exact"/>
        <w:jc w:val="center"/>
        <w:outlineLvl w:val="0"/>
        <w:rPr>
          <w:rFonts w:ascii="黑体" w:eastAsia="黑体" w:cs="黑体"/>
          <w:b/>
          <w:bCs/>
          <w:spacing w:val="-12"/>
          <w:kern w:val="0"/>
          <w:sz w:val="36"/>
          <w:szCs w:val="36"/>
          <w:lang w:val="zh-CN"/>
        </w:rPr>
      </w:pPr>
      <w:bookmarkStart w:id="0" w:name="_Toc16499"/>
      <w:r>
        <w:rPr>
          <w:rFonts w:hint="eastAsia" w:ascii="黑体" w:eastAsia="黑体" w:cs="黑体"/>
          <w:b/>
          <w:bCs/>
          <w:spacing w:val="-12"/>
          <w:kern w:val="0"/>
          <w:sz w:val="36"/>
          <w:szCs w:val="36"/>
          <w:lang w:val="zh-CN"/>
        </w:rPr>
        <w:t>昆山花桥国际商务城中等专业学校</w:t>
      </w:r>
      <w:bookmarkEnd w:id="0"/>
    </w:p>
    <w:p>
      <w:pPr>
        <w:autoSpaceDE w:val="0"/>
        <w:autoSpaceDN w:val="0"/>
        <w:adjustRightInd w:val="0"/>
        <w:spacing w:line="480" w:lineRule="exact"/>
        <w:jc w:val="center"/>
        <w:outlineLvl w:val="0"/>
        <w:rPr>
          <w:rFonts w:ascii="黑体" w:hAnsi="Times New Roman" w:eastAsia="黑体" w:cs="黑体"/>
          <w:b/>
          <w:bCs/>
          <w:spacing w:val="-12"/>
          <w:kern w:val="0"/>
          <w:sz w:val="36"/>
          <w:szCs w:val="36"/>
          <w:lang w:val="zh-CN"/>
        </w:rPr>
      </w:pPr>
      <w:bookmarkStart w:id="1" w:name="_Toc9863"/>
      <w:bookmarkStart w:id="2" w:name="_Toc28337_WPSOffice_Level1"/>
      <w:bookmarkStart w:id="3" w:name="_Toc25890_WPSOffice_Level1"/>
      <w:bookmarkStart w:id="4" w:name="_Toc29570"/>
      <w:bookmarkStart w:id="5" w:name="_Toc32037_WPSOffice_Level1"/>
      <w:bookmarkStart w:id="6" w:name="_Toc6344"/>
      <w:bookmarkStart w:id="7" w:name="_Toc2301_WPSOffice_Level1"/>
      <w:r>
        <w:rPr>
          <w:rFonts w:hint="eastAsia" w:ascii="黑体" w:eastAsia="黑体" w:cs="黑体"/>
          <w:b/>
          <w:bCs/>
          <w:spacing w:val="-12"/>
          <w:kern w:val="0"/>
          <w:sz w:val="36"/>
          <w:szCs w:val="36"/>
          <w:lang w:val="zh-CN"/>
        </w:rPr>
        <w:t>教育质量年度报告（</w:t>
      </w:r>
      <w:r>
        <w:rPr>
          <w:rFonts w:ascii="Times New Roman" w:hAnsi="Times New Roman" w:eastAsia="黑体" w:cs="Times New Roman"/>
          <w:b/>
          <w:bCs/>
          <w:spacing w:val="-12"/>
          <w:kern w:val="0"/>
          <w:sz w:val="36"/>
          <w:szCs w:val="36"/>
        </w:rPr>
        <w:t>20</w:t>
      </w:r>
      <w:r>
        <w:rPr>
          <w:rFonts w:hint="eastAsia" w:ascii="Times New Roman" w:hAnsi="Times New Roman" w:eastAsia="黑体" w:cs="Times New Roman"/>
          <w:b/>
          <w:bCs/>
          <w:spacing w:val="-12"/>
          <w:kern w:val="0"/>
          <w:sz w:val="36"/>
          <w:szCs w:val="36"/>
        </w:rPr>
        <w:t>20</w:t>
      </w:r>
      <w:r>
        <w:rPr>
          <w:rFonts w:hint="eastAsia" w:ascii="黑体" w:hAnsi="Times New Roman" w:eastAsia="黑体" w:cs="黑体"/>
          <w:b/>
          <w:bCs/>
          <w:spacing w:val="-12"/>
          <w:kern w:val="0"/>
          <w:sz w:val="36"/>
          <w:szCs w:val="36"/>
          <w:lang w:val="zh-CN"/>
        </w:rPr>
        <w:t>年）</w:t>
      </w:r>
      <w:bookmarkEnd w:id="1"/>
      <w:bookmarkEnd w:id="2"/>
      <w:bookmarkEnd w:id="3"/>
      <w:bookmarkEnd w:id="4"/>
      <w:bookmarkEnd w:id="5"/>
      <w:bookmarkEnd w:id="6"/>
      <w:bookmarkEnd w:id="7"/>
    </w:p>
    <w:p>
      <w:pPr>
        <w:autoSpaceDE w:val="0"/>
        <w:autoSpaceDN w:val="0"/>
        <w:adjustRightInd w:val="0"/>
        <w:spacing w:line="480" w:lineRule="exact"/>
        <w:ind w:firstLine="570"/>
        <w:outlineLvl w:val="0"/>
        <w:rPr>
          <w:rFonts w:ascii="??_GB2312" w:hAnsi="??_GB2312" w:eastAsia="宋体" w:cs="??_GB2312"/>
          <w:b/>
          <w:bCs/>
          <w:kern w:val="0"/>
          <w:sz w:val="28"/>
          <w:szCs w:val="28"/>
        </w:rPr>
      </w:pPr>
      <w:bookmarkStart w:id="8" w:name="_Toc28295_WPSOffice_Level1"/>
      <w:bookmarkStart w:id="9" w:name="_Toc15018"/>
      <w:bookmarkStart w:id="10" w:name="_Toc23701_WPSOffice_Level1"/>
      <w:bookmarkStart w:id="11" w:name="_Toc27567"/>
      <w:bookmarkStart w:id="12" w:name="_Toc1982"/>
      <w:r>
        <w:rPr>
          <w:rFonts w:hint="eastAsia" w:ascii="宋体" w:hAnsi="Times New Roman" w:eastAsia="宋体" w:cs="宋体"/>
          <w:b/>
          <w:bCs/>
          <w:kern w:val="0"/>
          <w:sz w:val="28"/>
          <w:szCs w:val="28"/>
          <w:lang w:val="zh-CN"/>
        </w:rPr>
        <w:t>一、基本情况</w:t>
      </w:r>
      <w:bookmarkEnd w:id="8"/>
      <w:bookmarkEnd w:id="9"/>
      <w:bookmarkEnd w:id="10"/>
      <w:bookmarkEnd w:id="11"/>
      <w:bookmarkEnd w:id="12"/>
    </w:p>
    <w:p>
      <w:pPr>
        <w:autoSpaceDE w:val="0"/>
        <w:autoSpaceDN w:val="0"/>
        <w:adjustRightInd w:val="0"/>
        <w:spacing w:line="480" w:lineRule="exact"/>
        <w:ind w:firstLine="570"/>
        <w:outlineLvl w:val="1"/>
        <w:rPr>
          <w:rFonts w:ascii="??_GB2312" w:hAnsi="??_GB2312" w:eastAsia="宋体" w:cs="??_GB2312"/>
          <w:b/>
          <w:bCs/>
          <w:kern w:val="0"/>
          <w:sz w:val="28"/>
          <w:szCs w:val="28"/>
        </w:rPr>
      </w:pPr>
      <w:bookmarkStart w:id="13" w:name="_Toc28337_WPSOffice_Level2"/>
      <w:bookmarkStart w:id="14" w:name="_Toc8777"/>
      <w:bookmarkStart w:id="15" w:name="_Toc32251"/>
      <w:bookmarkStart w:id="16" w:name="_Toc25890_WPSOffice_Level2"/>
      <w:bookmarkStart w:id="17" w:name="_Toc4885"/>
      <w:r>
        <w:rPr>
          <w:rFonts w:hint="eastAsia" w:ascii="宋体" w:hAnsi="??_GB2312" w:eastAsia="宋体" w:cs="宋体"/>
          <w:b/>
          <w:bCs/>
          <w:kern w:val="0"/>
          <w:sz w:val="28"/>
          <w:szCs w:val="28"/>
          <w:lang w:val="zh-CN"/>
        </w:rPr>
        <w:t>1.1</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学校概况</w:t>
      </w:r>
      <w:bookmarkEnd w:id="13"/>
      <w:bookmarkEnd w:id="14"/>
      <w:bookmarkEnd w:id="15"/>
      <w:bookmarkEnd w:id="16"/>
      <w:bookmarkEnd w:id="17"/>
    </w:p>
    <w:p>
      <w:pPr>
        <w:autoSpaceDE w:val="0"/>
        <w:autoSpaceDN w:val="0"/>
        <w:adjustRightInd w:val="0"/>
        <w:spacing w:line="480" w:lineRule="exact"/>
        <w:ind w:firstLine="573"/>
        <w:rPr>
          <w:rFonts w:ascii="??_GB2312" w:hAnsi="??_GB2312" w:eastAsia="宋体" w:cs="??_GB2312"/>
          <w:kern w:val="0"/>
          <w:sz w:val="28"/>
          <w:szCs w:val="28"/>
        </w:rPr>
      </w:pPr>
      <w:r>
        <w:rPr>
          <w:rFonts w:hint="eastAsia" w:ascii="宋体" w:hAnsi="??_GB2312" w:eastAsia="宋体" w:cs="宋体"/>
          <w:kern w:val="0"/>
          <w:sz w:val="28"/>
          <w:szCs w:val="28"/>
          <w:lang w:val="zh-CN"/>
        </w:rPr>
        <w:t>花桥国际商务城中等专业学校坐落于昆山花桥经济开发区花集路633号，是一所公办的中等职业学校，创办于</w:t>
      </w:r>
      <w:r>
        <w:rPr>
          <w:rFonts w:ascii="??_GB2312" w:hAnsi="??_GB2312" w:eastAsia="宋体" w:cs="??_GB2312"/>
          <w:kern w:val="0"/>
          <w:sz w:val="28"/>
          <w:szCs w:val="28"/>
        </w:rPr>
        <w:t>1983</w:t>
      </w:r>
      <w:r>
        <w:rPr>
          <w:rFonts w:hint="eastAsia" w:ascii="宋体" w:hAnsi="??_GB2312" w:eastAsia="宋体" w:cs="宋体"/>
          <w:kern w:val="0"/>
          <w:sz w:val="28"/>
          <w:szCs w:val="28"/>
          <w:lang w:val="zh-CN"/>
        </w:rPr>
        <w:t>年，原名</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昆山第三职业高级中学</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w:t>
      </w:r>
      <w:r>
        <w:rPr>
          <w:rFonts w:ascii="??_GB2312" w:hAnsi="??_GB2312" w:eastAsia="宋体" w:cs="??_GB2312"/>
          <w:kern w:val="0"/>
          <w:sz w:val="28"/>
          <w:szCs w:val="28"/>
        </w:rPr>
        <w:t>2010</w:t>
      </w:r>
      <w:r>
        <w:rPr>
          <w:rFonts w:hint="eastAsia" w:ascii="宋体" w:hAnsi="??_GB2312" w:eastAsia="宋体" w:cs="宋体"/>
          <w:kern w:val="0"/>
          <w:sz w:val="28"/>
          <w:szCs w:val="28"/>
          <w:lang w:val="zh-CN"/>
        </w:rPr>
        <w:t>年由花桥政府投入</w:t>
      </w:r>
      <w:r>
        <w:rPr>
          <w:rFonts w:ascii="??_GB2312" w:hAnsi="??_GB2312" w:eastAsia="宋体" w:cs="??_GB2312"/>
          <w:kern w:val="0"/>
          <w:sz w:val="28"/>
          <w:szCs w:val="28"/>
        </w:rPr>
        <w:t>2.5</w:t>
      </w:r>
      <w:r>
        <w:rPr>
          <w:rFonts w:hint="eastAsia" w:ascii="宋体" w:hAnsi="??_GB2312" w:eastAsia="宋体" w:cs="宋体"/>
          <w:kern w:val="0"/>
          <w:sz w:val="28"/>
          <w:szCs w:val="28"/>
          <w:lang w:val="zh-CN"/>
        </w:rPr>
        <w:t>亿元易地新建并实行初高中分设，更名为</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昆山花桥国际商务城中等专业学校</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，同时创建成</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江苏省三星级中等职业学校</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。学校占地面积</w:t>
      </w:r>
      <w:r>
        <w:rPr>
          <w:rFonts w:ascii="??_GB2312" w:hAnsi="??_GB2312" w:eastAsia="宋体" w:cs="??_GB2312"/>
          <w:kern w:val="0"/>
          <w:sz w:val="28"/>
          <w:szCs w:val="28"/>
        </w:rPr>
        <w:t>77831.3㎡</w:t>
      </w:r>
      <w:r>
        <w:rPr>
          <w:rFonts w:hint="eastAsia" w:ascii="宋体" w:hAnsi="??_GB2312" w:eastAsia="宋体" w:cs="宋体"/>
          <w:kern w:val="0"/>
          <w:sz w:val="28"/>
          <w:szCs w:val="28"/>
          <w:lang w:val="zh-CN"/>
        </w:rPr>
        <w:t>，资产17549.04万元。</w:t>
      </w:r>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lang w:val="zh-CN"/>
        </w:rPr>
        <w:t>学校确立“专业建校、管理立校、人才强校、服务兴校”的办学理念；坚持“植根商务城，服务商务城，努力打造中职服务外包特色学校”的办学方向；追求“规范教育教学管理，提升校园文化氛围，打造专业特色品牌”的总体目标。按照“资源为商务城所用，专业为商务城所设，人才为商务城所育”的工作思路。秉承“团结、自强、务实、创新”的校风；“敬业、博学、尚德、创优”的教风；“诚实、勤学、精技、创业”的学风，“德高为美、技精为强”的校训。</w:t>
      </w:r>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lang w:val="zh-CN"/>
        </w:rPr>
        <w:t>德育为先，活动育人，文化育人，成长德育特色凸显；单招高考成为昆山职业教育的一面旗帜，本科达线率和本科上线人数连续八年稳居江苏第一方阵；各项大赛稳中求进，办学以来，学校先后荣获“全国消防安全教育示范学校”、“江苏省德育特色学校”、“江苏省教育学会系统先进”、“江苏省平安校园”、“江苏省职业教育创新大赛最佳专利申报学校”、“江苏省商业会计学会常务理事单位”、江苏省首批“六个一”团建项目示范校、团中央“青年之声国学教育示范基地”、“江苏省优质特色职业学校”等荣誉称号。</w:t>
      </w:r>
    </w:p>
    <w:p>
      <w:pPr>
        <w:autoSpaceDE w:val="0"/>
        <w:autoSpaceDN w:val="0"/>
        <w:adjustRightInd w:val="0"/>
        <w:spacing w:line="480" w:lineRule="exact"/>
        <w:ind w:firstLine="570"/>
        <w:outlineLvl w:val="1"/>
        <w:rPr>
          <w:rFonts w:ascii="??_GB2312" w:hAnsi="??_GB2312" w:eastAsia="宋体" w:cs="??_GB2312"/>
          <w:b/>
          <w:bCs/>
          <w:kern w:val="0"/>
          <w:sz w:val="28"/>
          <w:szCs w:val="28"/>
        </w:rPr>
      </w:pPr>
      <w:bookmarkStart w:id="18" w:name="_Toc3160"/>
      <w:bookmarkStart w:id="19" w:name="_Toc26509"/>
      <w:bookmarkStart w:id="20" w:name="_Toc28295_WPSOffice_Level2"/>
      <w:bookmarkStart w:id="21" w:name="_Toc30794"/>
      <w:bookmarkStart w:id="22" w:name="_Toc23701_WPSOffice_Level2"/>
      <w:r>
        <w:rPr>
          <w:rFonts w:hint="eastAsia" w:ascii="宋体" w:hAnsi="??_GB2312" w:eastAsia="宋体" w:cs="宋体"/>
          <w:b/>
          <w:bCs/>
          <w:kern w:val="0"/>
          <w:sz w:val="28"/>
          <w:szCs w:val="28"/>
          <w:lang w:val="zh-CN"/>
        </w:rPr>
        <w:t>1.2</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学生情况</w:t>
      </w:r>
      <w:bookmarkEnd w:id="18"/>
      <w:bookmarkEnd w:id="19"/>
      <w:bookmarkEnd w:id="20"/>
      <w:bookmarkEnd w:id="21"/>
      <w:bookmarkEnd w:id="22"/>
      <w:r>
        <w:rPr>
          <w:rFonts w:hint="eastAsia" w:ascii="宋体" w:hAnsi="??_GB2312" w:eastAsia="宋体" w:cs="宋体"/>
          <w:b/>
          <w:bCs/>
          <w:kern w:val="0"/>
          <w:sz w:val="28"/>
          <w:szCs w:val="28"/>
          <w:lang w:val="zh-CN"/>
        </w:rPr>
        <w:t xml:space="preserve"> </w:t>
      </w:r>
    </w:p>
    <w:p>
      <w:pPr>
        <w:autoSpaceDE w:val="0"/>
        <w:autoSpaceDN w:val="0"/>
        <w:adjustRightInd w:val="0"/>
        <w:spacing w:line="480" w:lineRule="exact"/>
        <w:ind w:firstLine="570"/>
        <w:rPr>
          <w:rFonts w:ascii="??_GB2312" w:hAnsi="??_GB2312" w:eastAsia="宋体" w:cs="??_GB2312"/>
          <w:kern w:val="0"/>
          <w:sz w:val="28"/>
          <w:szCs w:val="28"/>
        </w:rPr>
        <w:sectPr>
          <w:pgSz w:w="12240" w:h="15840"/>
          <w:pgMar w:top="1417" w:right="1417" w:bottom="1417" w:left="1587" w:header="720" w:footer="720" w:gutter="0"/>
          <w:pgNumType w:start="1"/>
          <w:cols w:space="720" w:num="1"/>
        </w:sectPr>
      </w:pPr>
      <w:r>
        <w:rPr>
          <w:rFonts w:hint="eastAsia" w:ascii="宋体" w:hAnsi="??_GB2312" w:eastAsia="宋体" w:cs="宋体"/>
          <w:kern w:val="0"/>
          <w:sz w:val="28"/>
          <w:szCs w:val="28"/>
          <w:lang w:val="zh-CN"/>
        </w:rPr>
        <w:t>目前在校学生规模达</w:t>
      </w:r>
      <w:r>
        <w:rPr>
          <w:rFonts w:ascii="??_GB2312" w:hAnsi="??_GB2312" w:eastAsia="宋体" w:cs="??_GB2312"/>
          <w:kern w:val="0"/>
          <w:sz w:val="28"/>
          <w:szCs w:val="28"/>
        </w:rPr>
        <w:t>1865</w:t>
      </w:r>
      <w:r>
        <w:rPr>
          <w:rFonts w:hint="eastAsia" w:ascii="宋体" w:hAnsi="??_GB2312" w:eastAsia="宋体" w:cs="宋体"/>
          <w:kern w:val="0"/>
          <w:sz w:val="28"/>
          <w:szCs w:val="28"/>
          <w:lang w:val="zh-CN"/>
        </w:rPr>
        <w:t>人（去年为</w:t>
      </w:r>
      <w:r>
        <w:rPr>
          <w:rFonts w:ascii="??_GB2312" w:hAnsi="??_GB2312" w:eastAsia="宋体" w:cs="??_GB2312"/>
          <w:kern w:val="0"/>
          <w:sz w:val="28"/>
          <w:szCs w:val="28"/>
        </w:rPr>
        <w:t>1793</w:t>
      </w:r>
      <w:r>
        <w:rPr>
          <w:rFonts w:hint="eastAsia" w:ascii="宋体" w:hAnsi="??_GB2312" w:eastAsia="宋体" w:cs="宋体"/>
          <w:kern w:val="0"/>
          <w:sz w:val="28"/>
          <w:szCs w:val="28"/>
          <w:lang w:val="zh-CN"/>
        </w:rPr>
        <w:t>人），</w:t>
      </w:r>
      <w:r>
        <w:rPr>
          <w:rFonts w:ascii="??_GB2312" w:hAnsi="??_GB2312" w:eastAsia="宋体" w:cs="??_GB2312"/>
          <w:kern w:val="0"/>
          <w:sz w:val="28"/>
          <w:szCs w:val="28"/>
        </w:rPr>
        <w:t>20</w:t>
      </w:r>
      <w:r>
        <w:rPr>
          <w:rFonts w:hint="eastAsia" w:ascii="??_GB2312" w:hAnsi="??_GB2312" w:eastAsia="宋体" w:cs="??_GB2312"/>
          <w:kern w:val="0"/>
          <w:sz w:val="28"/>
          <w:szCs w:val="28"/>
        </w:rPr>
        <w:t>20</w:t>
      </w:r>
      <w:r>
        <w:rPr>
          <w:rFonts w:hint="eastAsia" w:ascii="宋体" w:hAnsi="??_GB2312" w:eastAsia="宋体" w:cs="宋体"/>
          <w:kern w:val="0"/>
          <w:sz w:val="28"/>
          <w:szCs w:val="28"/>
          <w:lang w:val="zh-CN"/>
        </w:rPr>
        <w:t>年招收新生共计</w:t>
      </w:r>
      <w:r>
        <w:rPr>
          <w:rFonts w:ascii="??_GB2312" w:hAnsi="??_GB2312" w:eastAsia="宋体" w:cs="??_GB2312"/>
          <w:kern w:val="0"/>
          <w:sz w:val="28"/>
          <w:szCs w:val="28"/>
        </w:rPr>
        <w:t>712</w:t>
      </w:r>
    </w:p>
    <w:p>
      <w:pPr>
        <w:autoSpaceDE w:val="0"/>
        <w:autoSpaceDN w:val="0"/>
        <w:adjustRightInd w:val="0"/>
        <w:spacing w:line="480" w:lineRule="exact"/>
        <w:rPr>
          <w:rFonts w:hint="eastAsia" w:ascii="宋体" w:hAnsi="??_GB2312" w:eastAsia="宋体" w:cs="宋体"/>
          <w:kern w:val="0"/>
          <w:sz w:val="28"/>
          <w:szCs w:val="28"/>
          <w:lang w:val="zh-CN"/>
        </w:rPr>
      </w:pPr>
      <w:r>
        <w:rPr>
          <w:rFonts w:hint="eastAsia" w:ascii="宋体" w:hAnsi="??_GB2312" w:eastAsia="宋体" w:cs="宋体"/>
          <w:kern w:val="0"/>
          <w:sz w:val="28"/>
          <w:szCs w:val="28"/>
          <w:lang w:val="zh-CN"/>
        </w:rPr>
        <w:t>人（去年为</w:t>
      </w:r>
      <w:r>
        <w:rPr>
          <w:rFonts w:ascii="??_GB2312" w:hAnsi="??_GB2312" w:eastAsia="宋体" w:cs="??_GB2312"/>
          <w:kern w:val="0"/>
          <w:sz w:val="28"/>
          <w:szCs w:val="28"/>
        </w:rPr>
        <w:t>644</w:t>
      </w:r>
      <w:r>
        <w:rPr>
          <w:rFonts w:hint="eastAsia" w:ascii="宋体" w:hAnsi="??_GB2312" w:eastAsia="宋体" w:cs="宋体"/>
          <w:kern w:val="0"/>
          <w:sz w:val="28"/>
          <w:szCs w:val="28"/>
          <w:lang w:val="zh-CN"/>
        </w:rPr>
        <w:t>人），当年毕业中职生为622人（去年为</w:t>
      </w:r>
      <w:r>
        <w:rPr>
          <w:rFonts w:ascii="??_GB2312" w:hAnsi="??_GB2312" w:eastAsia="宋体" w:cs="??_GB2312"/>
          <w:kern w:val="0"/>
          <w:sz w:val="28"/>
          <w:szCs w:val="28"/>
        </w:rPr>
        <w:t>586</w:t>
      </w:r>
      <w:r>
        <w:rPr>
          <w:rFonts w:hint="eastAsia" w:ascii="宋体" w:hAnsi="??_GB2312" w:eastAsia="宋体" w:cs="宋体"/>
          <w:kern w:val="0"/>
          <w:sz w:val="28"/>
          <w:szCs w:val="28"/>
          <w:lang w:val="zh-CN"/>
        </w:rPr>
        <w:t>人）。社会培训学员为3142人（去年为2085人）。</w:t>
      </w:r>
    </w:p>
    <w:p>
      <w:pPr>
        <w:autoSpaceDE w:val="0"/>
        <w:autoSpaceDN w:val="0"/>
        <w:adjustRightInd w:val="0"/>
        <w:spacing w:line="480" w:lineRule="exact"/>
        <w:ind w:firstLine="570"/>
        <w:jc w:val="center"/>
        <w:rPr>
          <w:rFonts w:ascii="宋体" w:hAnsi="??_GB2312" w:eastAsia="宋体" w:cs="宋体"/>
          <w:kern w:val="0"/>
          <w:sz w:val="28"/>
          <w:szCs w:val="28"/>
          <w:lang w:val="zh-CN"/>
        </w:rPr>
      </w:pPr>
      <w:bookmarkStart w:id="23" w:name="_Toc25890_WPSOffice_Level3"/>
      <w:bookmarkStart w:id="24" w:name="_Toc28337_WPSOffice_Level3"/>
      <w:r>
        <w:rPr>
          <w:rFonts w:hint="eastAsia" w:ascii="宋体" w:hAnsi="??_GB2312" w:eastAsia="宋体" w:cs="宋体"/>
          <w:kern w:val="0"/>
          <w:sz w:val="28"/>
          <w:szCs w:val="28"/>
          <w:lang w:val="zh-CN"/>
        </w:rPr>
        <w:t>表1：在校生规模</w:t>
      </w:r>
      <w:bookmarkEnd w:id="23"/>
      <w:bookmarkEnd w:id="24"/>
    </w:p>
    <w:tbl>
      <w:tblPr>
        <w:tblStyle w:val="7"/>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2345"/>
        <w:gridCol w:w="2345"/>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90" w:type="dxa"/>
            <w:gridSpan w:val="2"/>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在校学生数</w:t>
            </w:r>
          </w:p>
        </w:tc>
        <w:tc>
          <w:tcPr>
            <w:tcW w:w="4690" w:type="dxa"/>
            <w:gridSpan w:val="2"/>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当年招生数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当年数</w:t>
            </w:r>
          </w:p>
        </w:tc>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上年数</w:t>
            </w:r>
          </w:p>
        </w:tc>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当年数</w:t>
            </w:r>
          </w:p>
        </w:tc>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上年数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1</w:t>
            </w:r>
            <w:r>
              <w:rPr>
                <w:rFonts w:ascii="??_GB2312" w:hAnsi="??_GB2312" w:eastAsia="宋体" w:cs="??_GB2312"/>
                <w:kern w:val="0"/>
                <w:sz w:val="24"/>
                <w:szCs w:val="24"/>
              </w:rPr>
              <w:t>865</w:t>
            </w:r>
          </w:p>
        </w:tc>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1793</w:t>
            </w:r>
          </w:p>
        </w:tc>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7</w:t>
            </w:r>
            <w:r>
              <w:rPr>
                <w:rFonts w:ascii="??_GB2312" w:hAnsi="??_GB2312" w:eastAsia="宋体" w:cs="??_GB2312"/>
                <w:kern w:val="0"/>
                <w:sz w:val="24"/>
                <w:szCs w:val="24"/>
              </w:rPr>
              <w:t>12</w:t>
            </w:r>
          </w:p>
        </w:tc>
        <w:tc>
          <w:tcPr>
            <w:tcW w:w="2345" w:type="dxa"/>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644</w:t>
            </w:r>
          </w:p>
        </w:tc>
      </w:tr>
    </w:tbl>
    <w:p>
      <w:pPr>
        <w:autoSpaceDE w:val="0"/>
        <w:autoSpaceDN w:val="0"/>
        <w:adjustRightInd w:val="0"/>
        <w:spacing w:line="480" w:lineRule="exact"/>
        <w:jc w:val="center"/>
        <w:rPr>
          <w:rFonts w:ascii="??_GB2312" w:hAnsi="??_GB2312" w:eastAsia="宋体" w:cs="??_GB2312"/>
          <w:kern w:val="0"/>
          <w:sz w:val="28"/>
          <w:szCs w:val="28"/>
        </w:rPr>
      </w:pPr>
      <w:bookmarkStart w:id="25" w:name="_Toc28295_WPSOffice_Level3"/>
      <w:bookmarkStart w:id="26" w:name="_Toc23701_WPSOffice_Level3"/>
      <w:r>
        <w:rPr>
          <w:rFonts w:hint="eastAsia" w:ascii="??_GB2312" w:hAnsi="??_GB2312" w:eastAsia="宋体" w:cs="??_GB2312"/>
          <w:kern w:val="0"/>
          <w:sz w:val="28"/>
          <w:szCs w:val="28"/>
        </w:rPr>
        <w:t>表2：毕业生规模、培训规模</w:t>
      </w:r>
      <w:bookmarkEnd w:id="25"/>
      <w:bookmarkEnd w:id="26"/>
    </w:p>
    <w:tbl>
      <w:tblPr>
        <w:tblStyle w:val="7"/>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gridSpan w:val="2"/>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当年毕业生数</w:t>
            </w:r>
          </w:p>
        </w:tc>
        <w:tc>
          <w:tcPr>
            <w:tcW w:w="4700" w:type="dxa"/>
            <w:gridSpan w:val="2"/>
          </w:tcPr>
          <w:p>
            <w:pPr>
              <w:autoSpaceDE w:val="0"/>
              <w:autoSpaceDN w:val="0"/>
              <w:adjustRightInd w:val="0"/>
              <w:spacing w:line="480" w:lineRule="exact"/>
              <w:jc w:val="center"/>
              <w:rPr>
                <w:rFonts w:ascii="??_GB2312" w:hAnsi="??_GB2312" w:eastAsia="宋体" w:cs="??_GB2312"/>
                <w:kern w:val="0"/>
                <w:sz w:val="24"/>
                <w:szCs w:val="24"/>
              </w:rPr>
            </w:pPr>
            <w:r>
              <w:rPr>
                <w:rFonts w:hint="eastAsia" w:ascii="宋体" w:hAnsi="??_GB2312" w:eastAsia="宋体" w:cs="宋体"/>
                <w:kern w:val="0"/>
                <w:sz w:val="28"/>
                <w:szCs w:val="28"/>
                <w:lang w:val="zh-CN"/>
              </w:rPr>
              <w:t>社会培训学员数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当年数</w:t>
            </w:r>
          </w:p>
        </w:tc>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上年数</w:t>
            </w:r>
          </w:p>
        </w:tc>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当年数</w:t>
            </w:r>
          </w:p>
        </w:tc>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上年数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622</w:t>
            </w:r>
          </w:p>
        </w:tc>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586</w:t>
            </w:r>
          </w:p>
        </w:tc>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hint="eastAsia" w:ascii="??_GB2312" w:hAnsi="??_GB2312" w:eastAsia="宋体" w:cs="??_GB2312"/>
                <w:kern w:val="0"/>
                <w:sz w:val="24"/>
                <w:szCs w:val="24"/>
              </w:rPr>
              <w:t>3142</w:t>
            </w:r>
          </w:p>
        </w:tc>
        <w:tc>
          <w:tcPr>
            <w:tcW w:w="2350" w:type="dxa"/>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2085</w:t>
            </w:r>
          </w:p>
        </w:tc>
      </w:tr>
    </w:tbl>
    <w:p>
      <w:pPr>
        <w:autoSpaceDE w:val="0"/>
        <w:autoSpaceDN w:val="0"/>
        <w:adjustRightInd w:val="0"/>
        <w:spacing w:line="480" w:lineRule="exact"/>
        <w:jc w:val="center"/>
        <w:rPr>
          <w:rFonts w:ascii="??_GB2312" w:hAnsi="??_GB2312" w:eastAsia="宋体" w:cs="??_GB2312"/>
          <w:kern w:val="0"/>
          <w:sz w:val="28"/>
          <w:szCs w:val="28"/>
        </w:rPr>
      </w:pPr>
      <w:r>
        <w:rPr>
          <w:rFonts w:ascii="??_GB2312" w:hAnsi="??_GB2312" w:eastAsia="宋体" w:cs="??_GB2312"/>
          <w:kern w:val="0"/>
          <w:sz w:val="28"/>
          <w:szCs w:val="2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_GB2312" w:hAnsi="??_GB2312" w:eastAsia="宋体" w:cs="??_GB2312"/>
          <w:kern w:val="0"/>
          <w:sz w:val="28"/>
          <w:szCs w:val="28"/>
        </w:rPr>
        <w:instrText xml:space="preserve">ADDIN CNKISM.UserStyle</w:instrText>
      </w:r>
      <w:r>
        <w:rPr>
          <w:rFonts w:ascii="??_GB2312" w:hAnsi="??_GB2312" w:eastAsia="宋体" w:cs="??_GB2312"/>
          <w:kern w:val="0"/>
          <w:sz w:val="28"/>
          <w:szCs w:val="28"/>
        </w:rPr>
        <w:fldChar w:fldCharType="end"/>
      </w:r>
      <w:bookmarkStart w:id="27" w:name="_Toc20019_WPSOffice_Level3"/>
      <w:bookmarkStart w:id="28" w:name="_Toc27307_WPSOffice_Level3"/>
      <w:r>
        <w:rPr>
          <w:rFonts w:hint="eastAsia" w:ascii="??_GB2312" w:hAnsi="??_GB2312" w:eastAsia="宋体" w:cs="??_GB2312"/>
          <w:kern w:val="0"/>
          <w:sz w:val="28"/>
          <w:szCs w:val="28"/>
        </w:rPr>
        <w:t>表3：学生专业结构</w:t>
      </w:r>
      <w:bookmarkEnd w:id="27"/>
      <w:bookmarkEnd w:id="28"/>
    </w:p>
    <w:tbl>
      <w:tblPr>
        <w:tblStyle w:val="7"/>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053"/>
        <w:gridCol w:w="880"/>
        <w:gridCol w:w="2053"/>
        <w:gridCol w:w="1172"/>
        <w:gridCol w:w="131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2053"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专业名称</w:t>
            </w:r>
          </w:p>
        </w:tc>
        <w:tc>
          <w:tcPr>
            <w:tcW w:w="880"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学制</w:t>
            </w:r>
          </w:p>
        </w:tc>
        <w:tc>
          <w:tcPr>
            <w:tcW w:w="2053"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在校生总人数</w:t>
            </w:r>
          </w:p>
        </w:tc>
        <w:tc>
          <w:tcPr>
            <w:tcW w:w="1172"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一年级</w:t>
            </w:r>
          </w:p>
        </w:tc>
        <w:tc>
          <w:tcPr>
            <w:tcW w:w="1319"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二年级</w:t>
            </w:r>
          </w:p>
        </w:tc>
        <w:tc>
          <w:tcPr>
            <w:tcW w:w="1098"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电子技术应用</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65</w:t>
            </w:r>
          </w:p>
        </w:tc>
        <w:tc>
          <w:tcPr>
            <w:tcW w:w="1172" w:type="dxa"/>
            <w:vAlign w:val="center"/>
          </w:tcPr>
          <w:p>
            <w:pPr>
              <w:widowControl/>
              <w:spacing w:line="480" w:lineRule="exact"/>
              <w:jc w:val="center"/>
              <w:rPr>
                <w:rFonts w:ascii="宋体" w:hAnsi="宋体" w:eastAsia="宋体" w:cs="宋体"/>
                <w:kern w:val="0"/>
                <w:sz w:val="24"/>
                <w:szCs w:val="24"/>
              </w:rPr>
            </w:pPr>
          </w:p>
        </w:tc>
        <w:tc>
          <w:tcPr>
            <w:tcW w:w="1319"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33</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电子商务</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145</w:t>
            </w:r>
          </w:p>
        </w:tc>
        <w:tc>
          <w:tcPr>
            <w:tcW w:w="1172"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6</w:t>
            </w:r>
            <w:r>
              <w:rPr>
                <w:rFonts w:ascii="宋体" w:hAnsi="宋体" w:eastAsia="宋体" w:cs="宋体"/>
                <w:kern w:val="0"/>
                <w:sz w:val="24"/>
                <w:szCs w:val="24"/>
              </w:rPr>
              <w:t>5</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5</w:t>
            </w:r>
            <w:r>
              <w:rPr>
                <w:rFonts w:ascii="宋体" w:hAnsi="宋体" w:eastAsia="宋体" w:cs="宋体"/>
                <w:kern w:val="0"/>
                <w:sz w:val="24"/>
                <w:szCs w:val="24"/>
              </w:rPr>
              <w:t>2</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计算机网络技术</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221</w:t>
            </w:r>
          </w:p>
        </w:tc>
        <w:tc>
          <w:tcPr>
            <w:tcW w:w="1172"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16</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7</w:t>
            </w:r>
            <w:r>
              <w:rPr>
                <w:rFonts w:ascii="宋体" w:hAnsi="宋体" w:eastAsia="宋体" w:cs="宋体"/>
                <w:kern w:val="0"/>
                <w:sz w:val="24"/>
                <w:szCs w:val="24"/>
              </w:rPr>
              <w:t>4</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计算机应用</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138</w:t>
            </w:r>
          </w:p>
        </w:tc>
        <w:tc>
          <w:tcPr>
            <w:tcW w:w="1172"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0</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1</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金融事务</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243</w:t>
            </w:r>
          </w:p>
        </w:tc>
        <w:tc>
          <w:tcPr>
            <w:tcW w:w="1172"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108</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5</w:t>
            </w:r>
            <w:r>
              <w:rPr>
                <w:rFonts w:ascii="宋体" w:hAnsi="宋体" w:eastAsia="宋体" w:cs="宋体"/>
                <w:kern w:val="0"/>
                <w:sz w:val="24"/>
                <w:szCs w:val="24"/>
              </w:rPr>
              <w:t>9</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旅游服务与管理</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77</w:t>
            </w:r>
          </w:p>
        </w:tc>
        <w:tc>
          <w:tcPr>
            <w:tcW w:w="1172"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3</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4</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美术绘画</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334</w:t>
            </w:r>
          </w:p>
        </w:tc>
        <w:tc>
          <w:tcPr>
            <w:tcW w:w="1172"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114</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48</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物流服务与管理</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292</w:t>
            </w:r>
          </w:p>
        </w:tc>
        <w:tc>
          <w:tcPr>
            <w:tcW w:w="1172"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18</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8</w:t>
            </w:r>
            <w:r>
              <w:rPr>
                <w:rFonts w:ascii="宋体" w:hAnsi="宋体" w:eastAsia="宋体" w:cs="宋体"/>
                <w:kern w:val="0"/>
                <w:sz w:val="24"/>
                <w:szCs w:val="24"/>
              </w:rPr>
              <w:t>4</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845" w:type="dxa"/>
            <w:vAlign w:val="center"/>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高星级饭店运营与管理</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140</w:t>
            </w:r>
          </w:p>
        </w:tc>
        <w:tc>
          <w:tcPr>
            <w:tcW w:w="1172"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73</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2</w:t>
            </w:r>
          </w:p>
        </w:tc>
        <w:tc>
          <w:tcPr>
            <w:tcW w:w="1098"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45" w:type="dxa"/>
          </w:tcPr>
          <w:p>
            <w:pPr>
              <w:autoSpaceDE w:val="0"/>
              <w:autoSpaceDN w:val="0"/>
              <w:adjustRightInd w:val="0"/>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市场营销</w:t>
            </w:r>
          </w:p>
        </w:tc>
        <w:tc>
          <w:tcPr>
            <w:tcW w:w="880"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053"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210</w:t>
            </w:r>
          </w:p>
        </w:tc>
        <w:tc>
          <w:tcPr>
            <w:tcW w:w="1172"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5</w:t>
            </w:r>
          </w:p>
        </w:tc>
        <w:tc>
          <w:tcPr>
            <w:tcW w:w="1319" w:type="dxa"/>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8</w:t>
            </w:r>
            <w:r>
              <w:rPr>
                <w:rFonts w:ascii="宋体" w:hAnsi="宋体" w:eastAsia="宋体" w:cs="宋体"/>
                <w:kern w:val="0"/>
                <w:sz w:val="24"/>
                <w:szCs w:val="24"/>
              </w:rPr>
              <w:t>2</w:t>
            </w:r>
          </w:p>
        </w:tc>
        <w:tc>
          <w:tcPr>
            <w:tcW w:w="1098" w:type="dxa"/>
            <w:vAlign w:val="center"/>
          </w:tcPr>
          <w:p>
            <w:pPr>
              <w:widowControl/>
              <w:spacing w:line="480" w:lineRule="exact"/>
              <w:jc w:val="center"/>
              <w:rPr>
                <w:rFonts w:ascii="宋体" w:hAnsi="宋体" w:eastAsia="宋体" w:cs="宋体"/>
                <w:kern w:val="0"/>
                <w:sz w:val="24"/>
                <w:szCs w:val="24"/>
              </w:rPr>
            </w:pPr>
            <w:r>
              <w:rPr>
                <w:rFonts w:ascii="宋体" w:hAnsi="宋体" w:eastAsia="宋体" w:cs="宋体"/>
                <w:kern w:val="0"/>
                <w:sz w:val="24"/>
                <w:szCs w:val="24"/>
              </w:rPr>
              <w:t>83</w:t>
            </w:r>
            <w:r>
              <w:rPr>
                <w:rFonts w:hint="eastAsia" w:ascii="宋体" w:hAnsi="宋体" w:eastAsia="宋体" w:cs="宋体"/>
                <w:kern w:val="0"/>
                <w:sz w:val="24"/>
                <w:szCs w:val="24"/>
              </w:rPr>
              <w:t>　</w:t>
            </w:r>
          </w:p>
        </w:tc>
      </w:tr>
    </w:tbl>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outlineLvl w:val="1"/>
        <w:rPr>
          <w:rFonts w:ascii="??_GB2312" w:hAnsi="??_GB2312" w:eastAsia="宋体" w:cs="??_GB2312"/>
          <w:b/>
          <w:bCs/>
          <w:kern w:val="0"/>
          <w:sz w:val="28"/>
          <w:szCs w:val="28"/>
        </w:rPr>
      </w:pPr>
      <w:bookmarkStart w:id="29" w:name="_Toc20019_WPSOffice_Level2"/>
      <w:bookmarkStart w:id="30" w:name="_Toc18743"/>
      <w:bookmarkStart w:id="31" w:name="_Toc27307_WPSOffice_Level2"/>
      <w:bookmarkStart w:id="32" w:name="_Toc8937"/>
      <w:bookmarkStart w:id="33" w:name="_Toc12872"/>
      <w:r>
        <w:rPr>
          <w:rFonts w:hint="eastAsia" w:ascii="宋体" w:hAnsi="??_GB2312" w:eastAsia="宋体" w:cs="宋体"/>
          <w:b/>
          <w:bCs/>
          <w:kern w:val="0"/>
          <w:sz w:val="28"/>
          <w:szCs w:val="28"/>
          <w:lang w:val="zh-CN"/>
        </w:rPr>
        <w:t>1.3</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教师队伍</w:t>
      </w:r>
      <w:bookmarkEnd w:id="29"/>
      <w:bookmarkEnd w:id="30"/>
      <w:bookmarkEnd w:id="31"/>
      <w:bookmarkEnd w:id="32"/>
      <w:bookmarkEnd w:id="33"/>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lang w:val="zh-CN"/>
        </w:rPr>
        <w:t>学校专任教师</w:t>
      </w:r>
      <w:r>
        <w:rPr>
          <w:rFonts w:hint="eastAsia" w:ascii="宋体" w:hAnsi="??_GB2312" w:eastAsia="宋体" w:cs="宋体"/>
          <w:color w:val="auto"/>
          <w:kern w:val="0"/>
          <w:sz w:val="28"/>
          <w:szCs w:val="28"/>
          <w:lang w:val="zh-CN"/>
        </w:rPr>
        <w:t>总人数</w:t>
      </w:r>
      <w:r>
        <w:rPr>
          <w:rFonts w:hint="eastAsia" w:ascii="宋体" w:hAnsi="??_GB2312" w:eastAsia="宋体" w:cs="宋体"/>
          <w:color w:val="auto"/>
          <w:kern w:val="0"/>
          <w:sz w:val="28"/>
          <w:szCs w:val="28"/>
        </w:rPr>
        <w:t>133</w:t>
      </w:r>
      <w:r>
        <w:rPr>
          <w:rFonts w:hint="eastAsia" w:ascii="宋体" w:hAnsi="??_GB2312" w:eastAsia="宋体" w:cs="宋体"/>
          <w:color w:val="auto"/>
          <w:kern w:val="0"/>
          <w:sz w:val="28"/>
          <w:szCs w:val="28"/>
          <w:lang w:val="zh-CN"/>
        </w:rPr>
        <w:t>人（去年</w:t>
      </w:r>
      <w:r>
        <w:rPr>
          <w:rFonts w:hint="eastAsia" w:ascii="宋体" w:hAnsi="??_GB2312" w:eastAsia="宋体" w:cs="宋体"/>
          <w:color w:val="auto"/>
          <w:kern w:val="0"/>
          <w:sz w:val="28"/>
          <w:szCs w:val="28"/>
        </w:rPr>
        <w:t>130</w:t>
      </w:r>
      <w:r>
        <w:rPr>
          <w:rFonts w:hint="eastAsia" w:ascii="宋体" w:hAnsi="??_GB2312" w:eastAsia="宋体" w:cs="宋体"/>
          <w:color w:val="auto"/>
          <w:kern w:val="0"/>
          <w:sz w:val="28"/>
          <w:szCs w:val="28"/>
          <w:lang w:val="zh-CN"/>
        </w:rPr>
        <w:t>人），生师比为</w:t>
      </w:r>
      <w:r>
        <w:rPr>
          <w:rFonts w:hint="eastAsia" w:ascii="??_GB2312" w:hAnsi="??_GB2312" w:eastAsia="宋体" w:cs="??_GB2312"/>
          <w:color w:val="auto"/>
          <w:kern w:val="0"/>
          <w:sz w:val="28"/>
          <w:szCs w:val="28"/>
        </w:rPr>
        <w:t>14.02</w:t>
      </w:r>
      <w:r>
        <w:rPr>
          <w:rFonts w:hint="eastAsia" w:ascii="宋体" w:hAnsi="??_GB2312" w:eastAsia="宋体" w:cs="宋体"/>
          <w:color w:val="auto"/>
          <w:kern w:val="0"/>
          <w:sz w:val="28"/>
          <w:szCs w:val="28"/>
          <w:lang w:val="zh-CN"/>
        </w:rPr>
        <w:t>：</w:t>
      </w:r>
      <w:r>
        <w:rPr>
          <w:rFonts w:ascii="??_GB2312" w:hAnsi="??_GB2312" w:eastAsia="宋体" w:cs="??_GB2312"/>
          <w:color w:val="auto"/>
          <w:kern w:val="0"/>
          <w:sz w:val="28"/>
          <w:szCs w:val="28"/>
        </w:rPr>
        <w:t>1</w:t>
      </w:r>
      <w:r>
        <w:rPr>
          <w:rFonts w:hint="eastAsia" w:ascii="宋体" w:hAnsi="??_GB2312" w:eastAsia="宋体" w:cs="宋体"/>
          <w:color w:val="auto"/>
          <w:kern w:val="0"/>
          <w:sz w:val="28"/>
          <w:szCs w:val="28"/>
          <w:lang w:val="zh-CN"/>
        </w:rPr>
        <w:t>（去年</w:t>
      </w:r>
      <w:r>
        <w:rPr>
          <w:rFonts w:ascii="??_GB2312" w:hAnsi="??_GB2312" w:eastAsia="宋体" w:cs="??_GB2312"/>
          <w:color w:val="auto"/>
          <w:kern w:val="0"/>
          <w:sz w:val="28"/>
          <w:szCs w:val="28"/>
        </w:rPr>
        <w:t>1</w:t>
      </w:r>
      <w:r>
        <w:rPr>
          <w:rFonts w:hint="eastAsia" w:ascii="??_GB2312" w:hAnsi="??_GB2312" w:eastAsia="宋体" w:cs="??_GB2312"/>
          <w:color w:val="auto"/>
          <w:kern w:val="0"/>
          <w:sz w:val="28"/>
          <w:szCs w:val="28"/>
        </w:rPr>
        <w:t>3.79</w:t>
      </w:r>
      <w:r>
        <w:rPr>
          <w:rFonts w:hint="eastAsia" w:ascii="宋体" w:hAnsi="??_GB2312" w:eastAsia="宋体" w:cs="宋体"/>
          <w:color w:val="auto"/>
          <w:kern w:val="0"/>
          <w:sz w:val="28"/>
          <w:szCs w:val="28"/>
          <w:lang w:val="zh-CN"/>
        </w:rPr>
        <w:t>：</w:t>
      </w:r>
      <w:r>
        <w:rPr>
          <w:rFonts w:ascii="??_GB2312" w:hAnsi="??_GB2312" w:eastAsia="宋体" w:cs="??_GB2312"/>
          <w:color w:val="auto"/>
          <w:kern w:val="0"/>
          <w:sz w:val="28"/>
          <w:szCs w:val="28"/>
        </w:rPr>
        <w:t>1</w:t>
      </w:r>
      <w:r>
        <w:rPr>
          <w:rFonts w:hint="eastAsia" w:ascii="宋体" w:hAnsi="??_GB2312" w:eastAsia="宋体" w:cs="宋体"/>
          <w:color w:val="auto"/>
          <w:kern w:val="0"/>
          <w:sz w:val="28"/>
          <w:szCs w:val="28"/>
          <w:lang w:val="zh-CN"/>
        </w:rPr>
        <w:t>）；</w:t>
      </w:r>
      <w:r>
        <w:rPr>
          <w:rFonts w:ascii="宋体" w:hAnsi="??_GB2312" w:eastAsia="宋体" w:cs="宋体"/>
          <w:color w:val="auto"/>
          <w:kern w:val="0"/>
          <w:sz w:val="28"/>
          <w:szCs w:val="28"/>
          <w:lang w:val="zh-CN"/>
        </w:rPr>
        <w:t>“</w:t>
      </w:r>
      <w:r>
        <w:rPr>
          <w:rFonts w:hint="eastAsia" w:ascii="宋体" w:hAnsi="??_GB2312" w:eastAsia="宋体" w:cs="宋体"/>
          <w:color w:val="auto"/>
          <w:kern w:val="0"/>
          <w:sz w:val="28"/>
          <w:szCs w:val="28"/>
          <w:lang w:val="zh-CN"/>
        </w:rPr>
        <w:t>双师型</w:t>
      </w:r>
      <w:r>
        <w:rPr>
          <w:rFonts w:ascii="宋体" w:hAnsi="??_GB2312" w:eastAsia="宋体" w:cs="宋体"/>
          <w:color w:val="auto"/>
          <w:kern w:val="0"/>
          <w:sz w:val="28"/>
          <w:szCs w:val="28"/>
          <w:lang w:val="zh-CN"/>
        </w:rPr>
        <w:t>”</w:t>
      </w:r>
      <w:r>
        <w:rPr>
          <w:rFonts w:hint="eastAsia" w:ascii="宋体" w:hAnsi="??_GB2312" w:eastAsia="宋体" w:cs="宋体"/>
          <w:color w:val="auto"/>
          <w:kern w:val="0"/>
          <w:sz w:val="28"/>
          <w:szCs w:val="28"/>
          <w:lang w:val="zh-CN"/>
        </w:rPr>
        <w:t>教师</w:t>
      </w:r>
      <w:r>
        <w:rPr>
          <w:rFonts w:hint="eastAsia" w:ascii="??_GB2312" w:hAnsi="??_GB2312" w:eastAsia="宋体" w:cs="??_GB2312"/>
          <w:color w:val="auto"/>
          <w:kern w:val="0"/>
          <w:sz w:val="28"/>
          <w:szCs w:val="28"/>
          <w:lang w:val="en-US" w:eastAsia="zh-CN"/>
        </w:rPr>
        <w:t>60</w:t>
      </w:r>
      <w:r>
        <w:rPr>
          <w:rFonts w:hint="eastAsia" w:ascii="宋体" w:hAnsi="??_GB2312" w:eastAsia="宋体" w:cs="宋体"/>
          <w:color w:val="auto"/>
          <w:kern w:val="0"/>
          <w:sz w:val="28"/>
          <w:szCs w:val="28"/>
          <w:lang w:val="zh-CN"/>
        </w:rPr>
        <w:t>人，比例为</w:t>
      </w:r>
      <w:r>
        <w:rPr>
          <w:rFonts w:hint="eastAsia" w:ascii="宋体" w:hAnsi="??_GB2312" w:eastAsia="宋体" w:cs="宋体"/>
          <w:color w:val="auto"/>
          <w:kern w:val="0"/>
          <w:sz w:val="28"/>
          <w:szCs w:val="28"/>
          <w:lang w:val="en-US" w:eastAsia="zh-CN"/>
        </w:rPr>
        <w:t>75%</w:t>
      </w:r>
      <w:r>
        <w:rPr>
          <w:rFonts w:hint="eastAsia" w:ascii="宋体" w:hAnsi="??_GB2312" w:eastAsia="宋体" w:cs="宋体"/>
          <w:color w:val="auto"/>
          <w:kern w:val="0"/>
          <w:sz w:val="28"/>
          <w:szCs w:val="28"/>
          <w:lang w:val="zh-CN"/>
        </w:rPr>
        <w:t>（去年</w:t>
      </w:r>
      <w:r>
        <w:rPr>
          <w:rFonts w:hint="eastAsia" w:ascii="??_GB2312" w:hAnsi="??_GB2312" w:eastAsia="宋体" w:cs="??_GB2312"/>
          <w:color w:val="auto"/>
          <w:kern w:val="0"/>
          <w:sz w:val="28"/>
          <w:szCs w:val="28"/>
        </w:rPr>
        <w:t>82</w:t>
      </w:r>
      <w:r>
        <w:rPr>
          <w:rFonts w:ascii="??_GB2312" w:hAnsi="??_GB2312" w:eastAsia="宋体" w:cs="??_GB2312"/>
          <w:color w:val="auto"/>
          <w:kern w:val="0"/>
          <w:sz w:val="28"/>
          <w:szCs w:val="28"/>
        </w:rPr>
        <w:t>%</w:t>
      </w:r>
      <w:r>
        <w:rPr>
          <w:rFonts w:hint="eastAsia" w:ascii="宋体" w:hAnsi="??_GB2312" w:eastAsia="宋体" w:cs="宋体"/>
          <w:color w:val="auto"/>
          <w:kern w:val="0"/>
          <w:sz w:val="28"/>
          <w:szCs w:val="28"/>
          <w:lang w:val="zh-CN"/>
        </w:rPr>
        <w:t>）；专任教师本科以上学历比例为</w:t>
      </w:r>
      <w:r>
        <w:rPr>
          <w:rFonts w:ascii="??_GB2312" w:hAnsi="??_GB2312" w:eastAsia="宋体" w:cs="??_GB2312"/>
          <w:color w:val="auto"/>
          <w:kern w:val="0"/>
          <w:sz w:val="28"/>
          <w:szCs w:val="28"/>
        </w:rPr>
        <w:t>100%</w:t>
      </w:r>
      <w:r>
        <w:rPr>
          <w:rFonts w:hint="eastAsia" w:ascii="宋体" w:hAnsi="??_GB2312" w:eastAsia="宋体" w:cs="宋体"/>
          <w:color w:val="auto"/>
          <w:kern w:val="0"/>
          <w:sz w:val="28"/>
          <w:szCs w:val="28"/>
          <w:lang w:val="zh-CN"/>
        </w:rPr>
        <w:t>（去年</w:t>
      </w:r>
      <w:r>
        <w:rPr>
          <w:rFonts w:ascii="??_GB2312" w:hAnsi="??_GB2312" w:eastAsia="宋体" w:cs="??_GB2312"/>
          <w:color w:val="auto"/>
          <w:kern w:val="0"/>
          <w:sz w:val="28"/>
          <w:szCs w:val="28"/>
        </w:rPr>
        <w:t>100%</w:t>
      </w:r>
      <w:r>
        <w:rPr>
          <w:rFonts w:hint="eastAsia" w:ascii="宋体" w:hAnsi="??_GB2312" w:eastAsia="宋体" w:cs="宋体"/>
          <w:color w:val="auto"/>
          <w:kern w:val="0"/>
          <w:sz w:val="28"/>
          <w:szCs w:val="28"/>
          <w:lang w:val="zh-CN"/>
        </w:rPr>
        <w:t>），专任教师中研究生及在读研究生</w:t>
      </w:r>
      <w:r>
        <w:rPr>
          <w:rFonts w:hint="eastAsia" w:ascii="宋体" w:hAnsi="??_GB2312" w:eastAsia="宋体" w:cs="宋体"/>
          <w:color w:val="auto"/>
          <w:kern w:val="0"/>
          <w:sz w:val="28"/>
          <w:szCs w:val="28"/>
        </w:rPr>
        <w:t>49</w:t>
      </w:r>
      <w:r>
        <w:rPr>
          <w:rFonts w:hint="eastAsia" w:ascii="宋体" w:hAnsi="??_GB2312" w:eastAsia="宋体" w:cs="宋体"/>
          <w:color w:val="auto"/>
          <w:kern w:val="0"/>
          <w:sz w:val="28"/>
          <w:szCs w:val="28"/>
          <w:lang w:val="zh-CN"/>
        </w:rPr>
        <w:t>人，专任教师硕士以上学历比例为3</w:t>
      </w:r>
      <w:r>
        <w:rPr>
          <w:rFonts w:hint="eastAsia" w:ascii="宋体" w:hAnsi="??_GB2312" w:eastAsia="宋体" w:cs="宋体"/>
          <w:color w:val="auto"/>
          <w:kern w:val="0"/>
          <w:sz w:val="28"/>
          <w:szCs w:val="28"/>
        </w:rPr>
        <w:t>6.</w:t>
      </w:r>
      <w:r>
        <w:rPr>
          <w:rFonts w:hint="eastAsia" w:ascii="宋体" w:hAnsi="??_GB2312" w:eastAsia="宋体" w:cs="宋体"/>
          <w:color w:val="auto"/>
          <w:kern w:val="0"/>
          <w:sz w:val="28"/>
          <w:szCs w:val="28"/>
          <w:lang w:val="en-US" w:eastAsia="zh-CN"/>
        </w:rPr>
        <w:t>8</w:t>
      </w:r>
      <w:r>
        <w:rPr>
          <w:rFonts w:hint="eastAsia" w:ascii="宋体" w:hAnsi="??_GB2312" w:eastAsia="宋体" w:cs="宋体"/>
          <w:color w:val="auto"/>
          <w:kern w:val="0"/>
          <w:sz w:val="28"/>
          <w:szCs w:val="28"/>
          <w:lang w:val="zh-CN"/>
        </w:rPr>
        <w:t>%（去年</w:t>
      </w:r>
      <w:r>
        <w:rPr>
          <w:rFonts w:hint="eastAsia" w:ascii="宋体" w:hAnsi="??_GB2312" w:eastAsia="宋体" w:cs="宋体"/>
          <w:color w:val="auto"/>
          <w:kern w:val="0"/>
          <w:sz w:val="28"/>
          <w:szCs w:val="28"/>
        </w:rPr>
        <w:t>34</w:t>
      </w:r>
      <w:r>
        <w:rPr>
          <w:rFonts w:ascii="宋体" w:hAnsi="??_GB2312" w:eastAsia="宋体" w:cs="宋体"/>
          <w:color w:val="auto"/>
          <w:kern w:val="0"/>
          <w:sz w:val="28"/>
          <w:szCs w:val="28"/>
          <w:lang w:val="zh-CN"/>
        </w:rPr>
        <w:t>.</w:t>
      </w:r>
      <w:r>
        <w:rPr>
          <w:rFonts w:hint="eastAsia" w:ascii="宋体" w:hAnsi="??_GB2312" w:eastAsia="宋体" w:cs="宋体"/>
          <w:color w:val="auto"/>
          <w:kern w:val="0"/>
          <w:sz w:val="28"/>
          <w:szCs w:val="28"/>
        </w:rPr>
        <w:t>6</w:t>
      </w:r>
      <w:r>
        <w:rPr>
          <w:rFonts w:ascii="宋体" w:hAnsi="??_GB2312" w:eastAsia="宋体" w:cs="宋体"/>
          <w:color w:val="auto"/>
          <w:kern w:val="0"/>
          <w:sz w:val="28"/>
          <w:szCs w:val="28"/>
          <w:lang w:val="zh-CN"/>
        </w:rPr>
        <w:t>%</w:t>
      </w:r>
      <w:r>
        <w:rPr>
          <w:rFonts w:hint="eastAsia" w:ascii="宋体" w:hAnsi="??_GB2312" w:eastAsia="宋体" w:cs="宋体"/>
          <w:color w:val="auto"/>
          <w:kern w:val="0"/>
          <w:sz w:val="28"/>
          <w:szCs w:val="28"/>
          <w:lang w:val="zh-CN"/>
        </w:rPr>
        <w:t>）</w:t>
      </w:r>
      <w:r>
        <w:rPr>
          <w:rFonts w:hint="eastAsia" w:ascii="宋体" w:hAnsi="??_GB2312" w:eastAsia="宋体" w:cs="宋体"/>
          <w:kern w:val="0"/>
          <w:sz w:val="28"/>
          <w:szCs w:val="28"/>
          <w:lang w:val="zh-CN"/>
        </w:rPr>
        <w:t>；具有高级工、高级技师证书的教师达</w:t>
      </w:r>
      <w:r>
        <w:rPr>
          <w:rFonts w:hint="eastAsia" w:ascii="宋体" w:hAnsi="??_GB2312" w:eastAsia="宋体" w:cs="宋体"/>
          <w:kern w:val="0"/>
          <w:sz w:val="28"/>
          <w:szCs w:val="28"/>
        </w:rPr>
        <w:t>46</w:t>
      </w:r>
      <w:r>
        <w:rPr>
          <w:rFonts w:hint="eastAsia" w:ascii="宋体" w:hAnsi="??_GB2312" w:eastAsia="宋体" w:cs="宋体"/>
          <w:kern w:val="0"/>
          <w:sz w:val="28"/>
          <w:szCs w:val="28"/>
          <w:lang w:val="zh-CN"/>
        </w:rPr>
        <w:t>名；专任教师高级职称教师比例为</w:t>
      </w:r>
      <w:r>
        <w:rPr>
          <w:rFonts w:hint="eastAsia" w:ascii="宋体" w:hAnsi="??_GB2312" w:eastAsia="宋体" w:cs="宋体"/>
          <w:kern w:val="0"/>
          <w:sz w:val="28"/>
          <w:szCs w:val="28"/>
        </w:rPr>
        <w:t>24.06</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（去年</w:t>
      </w:r>
      <w:r>
        <w:rPr>
          <w:rFonts w:hint="eastAsia" w:ascii="宋体" w:hAnsi="??_GB2312" w:eastAsia="宋体" w:cs="宋体"/>
          <w:kern w:val="0"/>
          <w:sz w:val="28"/>
          <w:szCs w:val="28"/>
        </w:rPr>
        <w:t>26.1</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）；兼职教师比例为</w:t>
      </w:r>
      <w:r>
        <w:rPr>
          <w:rFonts w:hint="eastAsia" w:ascii="宋体" w:hAnsi="??_GB2312" w:eastAsia="宋体" w:cs="宋体"/>
          <w:kern w:val="0"/>
          <w:sz w:val="28"/>
          <w:szCs w:val="28"/>
        </w:rPr>
        <w:t>15.04</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（去年</w:t>
      </w:r>
      <w:r>
        <w:rPr>
          <w:rFonts w:ascii="宋体" w:hAnsi="??_GB2312" w:eastAsia="宋体" w:cs="宋体"/>
          <w:kern w:val="0"/>
          <w:sz w:val="28"/>
          <w:szCs w:val="28"/>
          <w:lang w:val="zh-CN"/>
        </w:rPr>
        <w:t>1</w:t>
      </w:r>
      <w:r>
        <w:rPr>
          <w:rFonts w:hint="eastAsia" w:ascii="宋体" w:hAnsi="??_GB2312" w:eastAsia="宋体" w:cs="宋体"/>
          <w:kern w:val="0"/>
          <w:sz w:val="28"/>
          <w:szCs w:val="28"/>
        </w:rPr>
        <w:t>5</w:t>
      </w:r>
      <w:r>
        <w:rPr>
          <w:rFonts w:ascii="宋体" w:hAnsi="??_GB2312" w:eastAsia="宋体" w:cs="宋体"/>
          <w:kern w:val="0"/>
          <w:sz w:val="28"/>
          <w:szCs w:val="28"/>
          <w:lang w:val="zh-CN"/>
        </w:rPr>
        <w:t>.</w:t>
      </w:r>
      <w:r>
        <w:rPr>
          <w:rFonts w:hint="eastAsia" w:ascii="宋体" w:hAnsi="??_GB2312" w:eastAsia="宋体" w:cs="宋体"/>
          <w:kern w:val="0"/>
          <w:sz w:val="28"/>
          <w:szCs w:val="28"/>
        </w:rPr>
        <w:t>83</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w:t>
      </w:r>
    </w:p>
    <w:p>
      <w:pPr>
        <w:autoSpaceDE w:val="0"/>
        <w:autoSpaceDN w:val="0"/>
        <w:adjustRightInd w:val="0"/>
        <w:spacing w:line="480" w:lineRule="exact"/>
        <w:ind w:firstLine="570"/>
        <w:outlineLvl w:val="1"/>
        <w:rPr>
          <w:rFonts w:ascii="宋体" w:hAnsi="??_GB2312" w:eastAsia="宋体" w:cs="宋体"/>
          <w:b/>
          <w:bCs/>
          <w:kern w:val="0"/>
          <w:sz w:val="28"/>
          <w:szCs w:val="28"/>
          <w:lang w:val="zh-CN"/>
        </w:rPr>
      </w:pPr>
      <w:bookmarkStart w:id="34" w:name="_Toc26748"/>
      <w:bookmarkStart w:id="35" w:name="_Toc13862_WPSOffice_Level2"/>
      <w:bookmarkStart w:id="36" w:name="_Toc2505"/>
      <w:bookmarkStart w:id="37" w:name="_Toc7065"/>
      <w:bookmarkStart w:id="38" w:name="_Toc21366_WPSOffice_Level2"/>
      <w:r>
        <w:rPr>
          <w:rFonts w:hint="eastAsia" w:ascii="宋体" w:hAnsi="??_GB2312" w:eastAsia="宋体" w:cs="宋体"/>
          <w:b/>
          <w:bCs/>
          <w:kern w:val="0"/>
          <w:sz w:val="28"/>
          <w:szCs w:val="28"/>
          <w:lang w:val="zh-CN"/>
        </w:rPr>
        <w:t>1.4</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设施设备</w:t>
      </w:r>
      <w:bookmarkEnd w:id="34"/>
      <w:bookmarkEnd w:id="35"/>
      <w:bookmarkEnd w:id="36"/>
      <w:bookmarkEnd w:id="37"/>
      <w:bookmarkEnd w:id="38"/>
    </w:p>
    <w:p>
      <w:pPr>
        <w:autoSpaceDE w:val="0"/>
        <w:autoSpaceDN w:val="0"/>
        <w:adjustRightInd w:val="0"/>
        <w:spacing w:line="480" w:lineRule="exact"/>
        <w:ind w:firstLine="570"/>
        <w:jc w:val="center"/>
        <w:rPr>
          <w:rFonts w:ascii="宋体" w:hAnsi="??_GB2312" w:eastAsia="宋体" w:cs="宋体"/>
          <w:kern w:val="0"/>
          <w:sz w:val="28"/>
          <w:szCs w:val="28"/>
          <w:lang w:val="zh-CN"/>
        </w:rPr>
      </w:pPr>
      <w:bookmarkStart w:id="39" w:name="_Toc21366_WPSOffice_Level3"/>
      <w:bookmarkStart w:id="40" w:name="_Toc13862_WPSOffice_Level3"/>
      <w:r>
        <w:rPr>
          <w:rFonts w:hint="eastAsia" w:ascii="宋体" w:hAnsi="??_GB2312" w:eastAsia="宋体" w:cs="宋体"/>
          <w:kern w:val="0"/>
          <w:sz w:val="28"/>
          <w:szCs w:val="28"/>
          <w:lang w:val="zh-CN"/>
        </w:rPr>
        <w:t>表4：设施设备情况</w:t>
      </w:r>
      <w:bookmarkEnd w:id="39"/>
      <w:bookmarkEnd w:id="40"/>
    </w:p>
    <w:tbl>
      <w:tblPr>
        <w:tblStyle w:val="6"/>
        <w:tblW w:w="9220" w:type="dxa"/>
        <w:tblInd w:w="108" w:type="dxa"/>
        <w:tblLayout w:type="fixed"/>
        <w:tblCellMar>
          <w:top w:w="0" w:type="dxa"/>
          <w:left w:w="108" w:type="dxa"/>
          <w:bottom w:w="0" w:type="dxa"/>
          <w:right w:w="108" w:type="dxa"/>
        </w:tblCellMar>
      </w:tblPr>
      <w:tblGrid>
        <w:gridCol w:w="1366"/>
        <w:gridCol w:w="1224"/>
        <w:gridCol w:w="1047"/>
        <w:gridCol w:w="1046"/>
        <w:gridCol w:w="1221"/>
        <w:gridCol w:w="1223"/>
        <w:gridCol w:w="1047"/>
        <w:gridCol w:w="1046"/>
      </w:tblGrid>
      <w:tr>
        <w:tblPrEx>
          <w:tblCellMar>
            <w:top w:w="0" w:type="dxa"/>
            <w:left w:w="108" w:type="dxa"/>
            <w:bottom w:w="0" w:type="dxa"/>
            <w:right w:w="108" w:type="dxa"/>
          </w:tblCellMar>
        </w:tblPrEx>
        <w:trPr>
          <w:trHeight w:val="970" w:hRule="atLeast"/>
        </w:trPr>
        <w:tc>
          <w:tcPr>
            <w:tcW w:w="2590" w:type="dxa"/>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学校总的设备金额</w:t>
            </w:r>
          </w:p>
        </w:tc>
        <w:tc>
          <w:tcPr>
            <w:tcW w:w="2093"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生均教学仪器设备值</w:t>
            </w:r>
          </w:p>
        </w:tc>
        <w:tc>
          <w:tcPr>
            <w:tcW w:w="2444"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生均实训实习</w:t>
            </w:r>
          </w:p>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工位数</w:t>
            </w:r>
          </w:p>
        </w:tc>
        <w:tc>
          <w:tcPr>
            <w:tcW w:w="2093"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生均纸质图书</w:t>
            </w:r>
          </w:p>
        </w:tc>
      </w:tr>
      <w:tr>
        <w:tblPrEx>
          <w:tblCellMar>
            <w:top w:w="0" w:type="dxa"/>
            <w:left w:w="108" w:type="dxa"/>
            <w:bottom w:w="0" w:type="dxa"/>
            <w:right w:w="108" w:type="dxa"/>
          </w:tblCellMar>
        </w:tblPrEx>
        <w:trPr>
          <w:trHeight w:val="493" w:hRule="atLeast"/>
        </w:trPr>
        <w:tc>
          <w:tcPr>
            <w:tcW w:w="1366" w:type="dxa"/>
            <w:tcBorders>
              <w:top w:val="nil"/>
              <w:left w:val="single" w:color="000000" w:sz="2" w:space="0"/>
              <w:bottom w:val="nil"/>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224" w:type="dxa"/>
            <w:tcBorders>
              <w:top w:val="nil"/>
              <w:left w:val="nil"/>
              <w:bottom w:val="nil"/>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c>
          <w:tcPr>
            <w:tcW w:w="1047"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04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c>
          <w:tcPr>
            <w:tcW w:w="1221"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22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c>
          <w:tcPr>
            <w:tcW w:w="1047"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04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r>
      <w:tr>
        <w:tblPrEx>
          <w:tblCellMar>
            <w:top w:w="0" w:type="dxa"/>
            <w:left w:w="108" w:type="dxa"/>
            <w:bottom w:w="0" w:type="dxa"/>
            <w:right w:w="108" w:type="dxa"/>
          </w:tblCellMar>
        </w:tblPrEx>
        <w:trPr>
          <w:trHeight w:val="500" w:hRule="atLeast"/>
        </w:trPr>
        <w:tc>
          <w:tcPr>
            <w:tcW w:w="1366" w:type="dxa"/>
            <w:tcBorders>
              <w:top w:val="single" w:color="000000" w:sz="2" w:space="0"/>
              <w:left w:val="single" w:color="000000" w:sz="2" w:space="0"/>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4114.57万</w:t>
            </w:r>
          </w:p>
        </w:tc>
        <w:tc>
          <w:tcPr>
            <w:tcW w:w="1224" w:type="dxa"/>
            <w:tcBorders>
              <w:top w:val="single" w:color="000000" w:sz="2" w:space="0"/>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lang w:val="zh-CN"/>
              </w:rPr>
            </w:pPr>
            <w:r>
              <w:rPr>
                <w:rFonts w:hint="eastAsia" w:ascii="宋体" w:hAnsi="宋体" w:eastAsia="宋体" w:cs="宋体"/>
                <w:kern w:val="0"/>
                <w:sz w:val="24"/>
                <w:szCs w:val="24"/>
              </w:rPr>
              <w:t>3899万</w:t>
            </w:r>
          </w:p>
        </w:tc>
        <w:tc>
          <w:tcPr>
            <w:tcW w:w="1047" w:type="dxa"/>
            <w:tcBorders>
              <w:top w:val="nil"/>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2.2万</w:t>
            </w:r>
          </w:p>
        </w:tc>
        <w:tc>
          <w:tcPr>
            <w:tcW w:w="1046" w:type="dxa"/>
            <w:tcBorders>
              <w:top w:val="nil"/>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lang w:val="zh-CN"/>
              </w:rPr>
            </w:pPr>
            <w:r>
              <w:rPr>
                <w:rFonts w:hint="eastAsia" w:ascii="宋体" w:hAnsi="宋体" w:eastAsia="宋体" w:cs="宋体"/>
                <w:kern w:val="0"/>
                <w:sz w:val="24"/>
                <w:szCs w:val="24"/>
              </w:rPr>
              <w:t>2.17万</w:t>
            </w:r>
          </w:p>
        </w:tc>
        <w:tc>
          <w:tcPr>
            <w:tcW w:w="1221" w:type="dxa"/>
            <w:tcBorders>
              <w:top w:val="nil"/>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0.9</w:t>
            </w:r>
          </w:p>
        </w:tc>
        <w:tc>
          <w:tcPr>
            <w:tcW w:w="1223" w:type="dxa"/>
            <w:tcBorders>
              <w:top w:val="nil"/>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lang w:val="zh-CN"/>
              </w:rPr>
            </w:pPr>
            <w:r>
              <w:rPr>
                <w:rFonts w:hint="eastAsia" w:ascii="宋体" w:hAnsi="宋体" w:eastAsia="宋体" w:cs="宋体"/>
                <w:kern w:val="0"/>
                <w:sz w:val="24"/>
                <w:szCs w:val="24"/>
              </w:rPr>
              <w:t>0.94</w:t>
            </w:r>
          </w:p>
        </w:tc>
        <w:tc>
          <w:tcPr>
            <w:tcW w:w="1047" w:type="dxa"/>
            <w:tcBorders>
              <w:top w:val="nil"/>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rPr>
            </w:pPr>
            <w:r>
              <w:rPr>
                <w:rFonts w:hint="eastAsia" w:ascii="宋体" w:hAnsi="宋体" w:eastAsia="宋体" w:cs="宋体"/>
                <w:kern w:val="0"/>
                <w:sz w:val="24"/>
                <w:szCs w:val="24"/>
              </w:rPr>
              <w:t>36.47</w:t>
            </w:r>
          </w:p>
        </w:tc>
        <w:tc>
          <w:tcPr>
            <w:tcW w:w="1046" w:type="dxa"/>
            <w:tcBorders>
              <w:top w:val="nil"/>
              <w:left w:val="nil"/>
              <w:bottom w:val="single" w:color="000000" w:sz="2" w:space="0"/>
              <w:right w:val="single" w:color="000000" w:sz="2" w:space="0"/>
            </w:tcBorders>
            <w:vAlign w:val="center"/>
          </w:tcPr>
          <w:p>
            <w:pPr>
              <w:widowControl/>
              <w:spacing w:line="480" w:lineRule="exact"/>
              <w:jc w:val="center"/>
              <w:rPr>
                <w:rFonts w:ascii="宋体" w:hAnsi="宋体" w:eastAsia="宋体" w:cs="宋体"/>
                <w:kern w:val="0"/>
                <w:sz w:val="24"/>
                <w:szCs w:val="24"/>
                <w:lang w:val="zh-CN"/>
              </w:rPr>
            </w:pPr>
            <w:r>
              <w:rPr>
                <w:rFonts w:hint="eastAsia" w:ascii="宋体" w:hAnsi="宋体" w:eastAsia="宋体" w:cs="宋体"/>
                <w:kern w:val="0"/>
                <w:sz w:val="24"/>
                <w:szCs w:val="24"/>
              </w:rPr>
              <w:t>33.8</w:t>
            </w:r>
          </w:p>
        </w:tc>
      </w:tr>
    </w:tbl>
    <w:p>
      <w:pPr>
        <w:autoSpaceDE w:val="0"/>
        <w:autoSpaceDN w:val="0"/>
        <w:adjustRightInd w:val="0"/>
        <w:spacing w:line="480" w:lineRule="exact"/>
        <w:ind w:firstLine="573"/>
        <w:rPr>
          <w:rFonts w:ascii="宋体" w:hAnsi="??_GB2312" w:eastAsia="宋体" w:cs="宋体"/>
          <w:b/>
          <w:bCs/>
          <w:kern w:val="0"/>
          <w:sz w:val="28"/>
          <w:szCs w:val="28"/>
          <w:lang w:val="zh-CN"/>
        </w:rPr>
      </w:pPr>
    </w:p>
    <w:p>
      <w:pPr>
        <w:autoSpaceDE w:val="0"/>
        <w:autoSpaceDN w:val="0"/>
        <w:adjustRightInd w:val="0"/>
        <w:spacing w:line="480" w:lineRule="exact"/>
        <w:ind w:firstLine="573"/>
        <w:outlineLvl w:val="0"/>
        <w:rPr>
          <w:rFonts w:ascii="宋体" w:hAnsi="??_GB2312" w:eastAsia="宋体" w:cs="宋体"/>
          <w:b/>
          <w:kern w:val="0"/>
          <w:sz w:val="28"/>
          <w:szCs w:val="28"/>
          <w:lang w:val="zh-CN"/>
        </w:rPr>
      </w:pPr>
      <w:bookmarkStart w:id="41" w:name="_Toc13862_WPSOffice_Level1"/>
      <w:bookmarkStart w:id="42" w:name="_Toc27030"/>
      <w:bookmarkStart w:id="43" w:name="_Toc15560"/>
      <w:bookmarkStart w:id="44" w:name="_Toc8670"/>
      <w:bookmarkStart w:id="45" w:name="_Toc21366_WPSOffice_Level1"/>
      <w:r>
        <w:rPr>
          <w:rFonts w:hint="eastAsia" w:ascii="宋体" w:hAnsi="??_GB2312" w:eastAsia="宋体" w:cs="宋体"/>
          <w:b/>
          <w:kern w:val="0"/>
          <w:sz w:val="28"/>
          <w:szCs w:val="28"/>
          <w:lang w:val="zh-CN"/>
        </w:rPr>
        <w:t>二、学生发展</w:t>
      </w:r>
      <w:bookmarkEnd w:id="41"/>
      <w:bookmarkEnd w:id="42"/>
      <w:bookmarkEnd w:id="43"/>
      <w:bookmarkEnd w:id="44"/>
      <w:bookmarkEnd w:id="45"/>
    </w:p>
    <w:p>
      <w:pPr>
        <w:autoSpaceDE w:val="0"/>
        <w:autoSpaceDN w:val="0"/>
        <w:adjustRightInd w:val="0"/>
        <w:spacing w:line="480" w:lineRule="exact"/>
        <w:ind w:firstLine="570"/>
        <w:outlineLvl w:val="1"/>
        <w:rPr>
          <w:rFonts w:ascii="宋体" w:hAnsi="??_GB2312" w:eastAsia="宋体" w:cs="宋体"/>
          <w:b/>
          <w:bCs/>
          <w:kern w:val="0"/>
          <w:sz w:val="28"/>
          <w:szCs w:val="28"/>
          <w:lang w:val="zh-CN"/>
        </w:rPr>
      </w:pPr>
      <w:bookmarkStart w:id="46" w:name="_Toc301_WPSOffice_Level2"/>
      <w:bookmarkStart w:id="47" w:name="_Toc25995"/>
      <w:bookmarkStart w:id="48" w:name="_Toc12050"/>
      <w:bookmarkStart w:id="49" w:name="_Toc18048"/>
      <w:bookmarkStart w:id="50" w:name="_Toc11882_WPSOffice_Level2"/>
      <w:r>
        <w:rPr>
          <w:rFonts w:hint="eastAsia" w:ascii="宋体" w:hAnsi="??_GB2312" w:eastAsia="宋体" w:cs="宋体"/>
          <w:b/>
          <w:bCs/>
          <w:kern w:val="0"/>
          <w:sz w:val="28"/>
          <w:szCs w:val="28"/>
        </w:rPr>
        <w:t>2</w:t>
      </w:r>
      <w:r>
        <w:rPr>
          <w:rFonts w:hint="eastAsia" w:ascii="宋体" w:hAnsi="??_GB2312" w:eastAsia="宋体" w:cs="宋体"/>
          <w:b/>
          <w:bCs/>
          <w:kern w:val="0"/>
          <w:sz w:val="28"/>
          <w:szCs w:val="28"/>
          <w:lang w:val="zh-CN"/>
        </w:rPr>
        <w:t>.1</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学生素质</w:t>
      </w:r>
      <w:bookmarkEnd w:id="46"/>
      <w:bookmarkEnd w:id="47"/>
      <w:bookmarkEnd w:id="48"/>
      <w:bookmarkEnd w:id="49"/>
      <w:bookmarkEnd w:id="50"/>
    </w:p>
    <w:p>
      <w:pPr>
        <w:autoSpaceDE w:val="0"/>
        <w:autoSpaceDN w:val="0"/>
        <w:adjustRightInd w:val="0"/>
        <w:spacing w:line="480" w:lineRule="exact"/>
        <w:ind w:firstLine="570"/>
        <w:jc w:val="center"/>
        <w:rPr>
          <w:rFonts w:ascii="宋体" w:hAnsi="??_GB2312" w:eastAsia="宋体" w:cs="宋体"/>
          <w:kern w:val="0"/>
          <w:sz w:val="28"/>
          <w:szCs w:val="28"/>
          <w:lang w:val="zh-CN"/>
        </w:rPr>
      </w:pPr>
      <w:bookmarkStart w:id="51" w:name="_Toc32003_WPSOffice_Level3"/>
      <w:bookmarkStart w:id="52" w:name="_Toc6899_WPSOffice_Level3"/>
      <w:r>
        <w:rPr>
          <w:rFonts w:hint="eastAsia" w:ascii="宋体" w:hAnsi="??_GB2312" w:eastAsia="宋体" w:cs="宋体"/>
          <w:kern w:val="0"/>
          <w:sz w:val="28"/>
          <w:szCs w:val="28"/>
          <w:lang w:val="zh-CN"/>
        </w:rPr>
        <w:t>表5：学生素质</w:t>
      </w:r>
      <w:bookmarkEnd w:id="51"/>
      <w:bookmarkEnd w:id="52"/>
    </w:p>
    <w:tbl>
      <w:tblPr>
        <w:tblStyle w:val="7"/>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323"/>
        <w:gridCol w:w="1761"/>
        <w:gridCol w:w="1964"/>
        <w:gridCol w:w="2111"/>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48" w:type="dxa"/>
          </w:tcPr>
          <w:p>
            <w:pPr>
              <w:autoSpaceDE w:val="0"/>
              <w:autoSpaceDN w:val="0"/>
              <w:adjustRightInd w:val="0"/>
              <w:spacing w:line="480" w:lineRule="exact"/>
              <w:jc w:val="center"/>
              <w:rPr>
                <w:rFonts w:hint="eastAsia" w:ascii="宋体" w:hAnsi="??_GB2312" w:eastAsia="宋体" w:cs="宋体"/>
                <w:kern w:val="0"/>
                <w:sz w:val="24"/>
                <w:szCs w:val="24"/>
                <w:lang w:val="zh-CN"/>
              </w:rPr>
            </w:pPr>
            <w:r>
              <w:rPr>
                <w:rFonts w:hint="eastAsia" w:ascii="宋体" w:hAnsi="??_GB2312" w:eastAsia="宋体" w:cs="宋体"/>
                <w:kern w:val="0"/>
                <w:sz w:val="24"/>
                <w:szCs w:val="24"/>
                <w:lang w:val="zh-CN"/>
              </w:rPr>
              <w:t>班级</w:t>
            </w:r>
          </w:p>
        </w:tc>
        <w:tc>
          <w:tcPr>
            <w:tcW w:w="1323"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思想政治</w:t>
            </w:r>
          </w:p>
        </w:tc>
        <w:tc>
          <w:tcPr>
            <w:tcW w:w="1761"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文化课合格率</w:t>
            </w:r>
          </w:p>
        </w:tc>
        <w:tc>
          <w:tcPr>
            <w:tcW w:w="1964"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专业技能合格率</w:t>
            </w:r>
          </w:p>
        </w:tc>
        <w:tc>
          <w:tcPr>
            <w:tcW w:w="2111" w:type="dxa"/>
          </w:tcPr>
          <w:p>
            <w:pPr>
              <w:autoSpaceDE w:val="0"/>
              <w:autoSpaceDN w:val="0"/>
              <w:adjustRightInd w:val="0"/>
              <w:spacing w:line="480" w:lineRule="exact"/>
              <w:jc w:val="center"/>
              <w:rPr>
                <w:rFonts w:hint="eastAsia" w:ascii="宋体" w:hAnsi="??_GB2312" w:eastAsia="宋体" w:cs="宋体"/>
                <w:kern w:val="0"/>
                <w:sz w:val="24"/>
                <w:szCs w:val="24"/>
                <w:lang w:val="zh-CN"/>
              </w:rPr>
            </w:pPr>
            <w:r>
              <w:rPr>
                <w:rFonts w:hint="eastAsia" w:ascii="宋体" w:hAnsi="??_GB2312" w:eastAsia="宋体" w:cs="宋体"/>
                <w:kern w:val="0"/>
                <w:sz w:val="24"/>
                <w:szCs w:val="24"/>
                <w:lang w:val="zh-CN"/>
              </w:rPr>
              <w:t>体质测评合格率</w:t>
            </w:r>
          </w:p>
        </w:tc>
        <w:tc>
          <w:tcPr>
            <w:tcW w:w="1311"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毕业率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048" w:type="dxa"/>
          </w:tcPr>
          <w:p>
            <w:pPr>
              <w:autoSpaceDE w:val="0"/>
              <w:autoSpaceDN w:val="0"/>
              <w:adjustRightInd w:val="0"/>
              <w:spacing w:line="480" w:lineRule="exact"/>
              <w:jc w:val="center"/>
              <w:rPr>
                <w:rFonts w:hint="eastAsia" w:ascii="宋体" w:hAnsi="??_GB2312" w:eastAsia="宋体" w:cs="宋体"/>
                <w:kern w:val="0"/>
                <w:sz w:val="24"/>
                <w:szCs w:val="24"/>
                <w:lang w:val="zh-CN"/>
              </w:rPr>
            </w:pPr>
            <w:r>
              <w:rPr>
                <w:rFonts w:hint="eastAsia" w:ascii="宋体" w:hAnsi="??_GB2312" w:eastAsia="宋体" w:cs="宋体"/>
                <w:kern w:val="0"/>
                <w:sz w:val="24"/>
                <w:szCs w:val="24"/>
                <w:lang w:val="zh-CN"/>
              </w:rPr>
              <w:t>52</w:t>
            </w:r>
          </w:p>
        </w:tc>
        <w:tc>
          <w:tcPr>
            <w:tcW w:w="1323"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良好</w:t>
            </w:r>
          </w:p>
        </w:tc>
        <w:tc>
          <w:tcPr>
            <w:tcW w:w="1761" w:type="dxa"/>
            <w:vAlign w:val="top"/>
          </w:tcPr>
          <w:p>
            <w:pPr>
              <w:keepNext w:val="0"/>
              <w:keepLines w:val="0"/>
              <w:pageBreakBefore w:val="0"/>
              <w:kinsoku/>
              <w:wordWrap/>
              <w:overflowPunct/>
              <w:topLinePunct w:val="0"/>
              <w:autoSpaceDE w:val="0"/>
              <w:autoSpaceDN w:val="0"/>
              <w:bidi w:val="0"/>
              <w:adjustRightInd w:val="0"/>
              <w:snapToGrid/>
              <w:spacing w:line="480" w:lineRule="exact"/>
              <w:jc w:val="center"/>
              <w:textAlignment w:val="auto"/>
              <w:rPr>
                <w:rFonts w:ascii="宋体" w:hAnsi="??_GB2312" w:eastAsia="宋体" w:cs="宋体"/>
                <w:color w:val="auto"/>
                <w:kern w:val="0"/>
                <w:sz w:val="24"/>
                <w:szCs w:val="24"/>
                <w:lang w:val="zh-CN"/>
              </w:rPr>
            </w:pPr>
            <w:r>
              <w:rPr>
                <w:rFonts w:hint="eastAsia" w:ascii="宋体" w:hAnsi="??_GB2312" w:eastAsia="宋体" w:cs="宋体"/>
                <w:color w:val="auto"/>
                <w:kern w:val="0"/>
                <w:sz w:val="24"/>
                <w:szCs w:val="24"/>
                <w:lang w:val="en-US" w:eastAsia="zh-CN"/>
              </w:rPr>
              <w:t>92</w:t>
            </w:r>
            <w:r>
              <w:rPr>
                <w:rFonts w:hint="eastAsia" w:ascii="宋体" w:hAnsi="??_GB2312" w:eastAsia="宋体" w:cs="宋体"/>
                <w:color w:val="auto"/>
                <w:kern w:val="0"/>
                <w:sz w:val="24"/>
                <w:szCs w:val="24"/>
                <w:lang w:val="zh-CN"/>
              </w:rPr>
              <w:t>.15%</w:t>
            </w:r>
          </w:p>
        </w:tc>
        <w:tc>
          <w:tcPr>
            <w:tcW w:w="1964" w:type="dxa"/>
            <w:vAlign w:val="top"/>
          </w:tcPr>
          <w:p>
            <w:pPr>
              <w:keepNext w:val="0"/>
              <w:keepLines w:val="0"/>
              <w:pageBreakBefore w:val="0"/>
              <w:kinsoku/>
              <w:wordWrap/>
              <w:overflowPunct/>
              <w:topLinePunct w:val="0"/>
              <w:autoSpaceDE w:val="0"/>
              <w:autoSpaceDN w:val="0"/>
              <w:bidi w:val="0"/>
              <w:adjustRightInd w:val="0"/>
              <w:snapToGrid/>
              <w:spacing w:line="480" w:lineRule="exact"/>
              <w:jc w:val="center"/>
              <w:textAlignment w:val="auto"/>
              <w:rPr>
                <w:rFonts w:ascii="宋体" w:hAnsi="??_GB2312" w:eastAsia="宋体" w:cs="宋体"/>
                <w:color w:val="auto"/>
                <w:kern w:val="0"/>
                <w:sz w:val="24"/>
                <w:szCs w:val="24"/>
                <w:lang w:val="zh-CN"/>
              </w:rPr>
            </w:pPr>
            <w:r>
              <w:rPr>
                <w:rFonts w:hint="eastAsia" w:ascii="宋体" w:hAnsi="??_GB2312" w:eastAsia="宋体" w:cs="宋体"/>
                <w:color w:val="auto"/>
                <w:kern w:val="0"/>
                <w:sz w:val="24"/>
                <w:szCs w:val="24"/>
                <w:lang w:val="en-US" w:eastAsia="zh-CN"/>
              </w:rPr>
              <w:t>99</w:t>
            </w:r>
            <w:r>
              <w:rPr>
                <w:rFonts w:hint="eastAsia" w:ascii="宋体" w:hAnsi="??_GB2312" w:eastAsia="宋体" w:cs="宋体"/>
                <w:color w:val="auto"/>
                <w:kern w:val="0"/>
                <w:sz w:val="24"/>
                <w:szCs w:val="24"/>
                <w:lang w:val="zh-CN"/>
              </w:rPr>
              <w:t>%</w:t>
            </w:r>
          </w:p>
        </w:tc>
        <w:tc>
          <w:tcPr>
            <w:tcW w:w="2111" w:type="dxa"/>
          </w:tcPr>
          <w:p>
            <w:pPr>
              <w:autoSpaceDE w:val="0"/>
              <w:autoSpaceDN w:val="0"/>
              <w:adjustRightInd w:val="0"/>
              <w:spacing w:line="480" w:lineRule="exact"/>
              <w:jc w:val="center"/>
              <w:rPr>
                <w:rFonts w:ascii="宋体" w:hAnsi="??_GB2312" w:eastAsia="宋体" w:cs="宋体"/>
                <w:color w:val="FF0000"/>
                <w:kern w:val="0"/>
                <w:sz w:val="24"/>
                <w:szCs w:val="24"/>
                <w:lang w:val="zh-CN"/>
              </w:rPr>
            </w:pPr>
            <w:r>
              <w:rPr>
                <w:rFonts w:hint="eastAsia" w:ascii="宋体" w:hAnsi="??_GB2312" w:eastAsia="宋体" w:cs="宋体"/>
                <w:color w:val="auto"/>
                <w:kern w:val="0"/>
                <w:sz w:val="24"/>
                <w:szCs w:val="24"/>
                <w:lang w:val="en-US" w:eastAsia="zh-CN"/>
              </w:rPr>
              <w:t>8</w:t>
            </w:r>
            <w:r>
              <w:rPr>
                <w:rFonts w:hint="eastAsia" w:ascii="宋体" w:hAnsi="??_GB2312" w:eastAsia="宋体" w:cs="宋体"/>
                <w:color w:val="auto"/>
                <w:kern w:val="0"/>
                <w:sz w:val="24"/>
                <w:szCs w:val="24"/>
                <w:lang w:val="zh-CN"/>
              </w:rPr>
              <w:t>9.</w:t>
            </w:r>
            <w:r>
              <w:rPr>
                <w:rFonts w:hint="eastAsia" w:ascii="宋体" w:hAnsi="??_GB2312" w:eastAsia="宋体" w:cs="宋体"/>
                <w:color w:val="auto"/>
                <w:kern w:val="0"/>
                <w:sz w:val="24"/>
                <w:szCs w:val="24"/>
                <w:lang w:val="en-US" w:eastAsia="zh-CN"/>
              </w:rPr>
              <w:t>44</w:t>
            </w:r>
            <w:r>
              <w:rPr>
                <w:rFonts w:hint="eastAsia" w:ascii="宋体" w:hAnsi="??_GB2312" w:eastAsia="宋体" w:cs="宋体"/>
                <w:color w:val="auto"/>
                <w:kern w:val="0"/>
                <w:sz w:val="24"/>
                <w:szCs w:val="24"/>
                <w:lang w:val="zh-CN"/>
              </w:rPr>
              <w:t>%</w:t>
            </w:r>
          </w:p>
        </w:tc>
        <w:tc>
          <w:tcPr>
            <w:tcW w:w="1311"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100%</w:t>
            </w:r>
          </w:p>
        </w:tc>
      </w:tr>
    </w:tbl>
    <w:p>
      <w:pPr>
        <w:autoSpaceDE w:val="0"/>
        <w:autoSpaceDN w:val="0"/>
        <w:adjustRightInd w:val="0"/>
        <w:spacing w:before="312" w:beforeLines="100" w:after="312" w:afterLines="100" w:line="480" w:lineRule="exact"/>
        <w:ind w:firstLine="573"/>
        <w:outlineLvl w:val="1"/>
        <w:rPr>
          <w:rFonts w:ascii="宋体" w:hAnsi="??_GB2312" w:eastAsia="宋体" w:cs="宋体"/>
          <w:b/>
          <w:bCs/>
          <w:kern w:val="0"/>
          <w:sz w:val="28"/>
          <w:szCs w:val="28"/>
          <w:lang w:val="zh-CN"/>
        </w:rPr>
      </w:pPr>
      <w:bookmarkStart w:id="53" w:name="_Toc11338_WPSOffice_Level2"/>
      <w:bookmarkStart w:id="54" w:name="_Toc12290"/>
      <w:bookmarkStart w:id="55" w:name="_Toc4306_WPSOffice_Level2"/>
      <w:bookmarkStart w:id="56" w:name="_Toc5023"/>
      <w:bookmarkStart w:id="57" w:name="_Toc6464"/>
      <w:r>
        <w:rPr>
          <w:rFonts w:hint="eastAsia" w:ascii="宋体" w:hAnsi="??_GB2312" w:eastAsia="宋体" w:cs="宋体"/>
          <w:b/>
          <w:bCs/>
          <w:kern w:val="0"/>
          <w:sz w:val="28"/>
          <w:szCs w:val="28"/>
        </w:rPr>
        <w:t>2</w:t>
      </w:r>
      <w:r>
        <w:rPr>
          <w:rFonts w:hint="eastAsia" w:ascii="宋体" w:hAnsi="??_GB2312" w:eastAsia="宋体" w:cs="宋体"/>
          <w:b/>
          <w:bCs/>
          <w:kern w:val="0"/>
          <w:sz w:val="28"/>
          <w:szCs w:val="28"/>
          <w:lang w:val="zh-CN"/>
        </w:rPr>
        <w:t>.2</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在校体验</w:t>
      </w:r>
      <w:bookmarkEnd w:id="53"/>
      <w:bookmarkEnd w:id="54"/>
      <w:bookmarkEnd w:id="55"/>
      <w:bookmarkEnd w:id="56"/>
      <w:bookmarkEnd w:id="57"/>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248"/>
        <w:gridCol w:w="1249"/>
        <w:gridCol w:w="1869"/>
        <w:gridCol w:w="1050"/>
        <w:gridCol w:w="1300"/>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1248"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理论学习满意度</w:t>
            </w:r>
          </w:p>
        </w:tc>
        <w:tc>
          <w:tcPr>
            <w:tcW w:w="1248" w:type="dxa"/>
          </w:tcPr>
          <w:p>
            <w:pPr>
              <w:autoSpaceDE w:val="0"/>
              <w:autoSpaceDN w:val="0"/>
              <w:adjustRightInd w:val="0"/>
              <w:spacing w:line="480" w:lineRule="exact"/>
              <w:jc w:val="center"/>
              <w:rPr>
                <w:rFonts w:ascii="宋体" w:hAnsi="??_GB2312" w:eastAsia="宋体" w:cs="宋体"/>
                <w:b/>
                <w:bCs/>
                <w:kern w:val="0"/>
                <w:sz w:val="24"/>
                <w:szCs w:val="24"/>
                <w:lang w:val="zh-CN"/>
              </w:rPr>
            </w:pPr>
            <w:r>
              <w:rPr>
                <w:rFonts w:hint="eastAsia" w:ascii="宋体" w:hAnsi="??_GB2312" w:eastAsia="宋体" w:cs="宋体"/>
                <w:kern w:val="0"/>
                <w:sz w:val="24"/>
                <w:szCs w:val="24"/>
                <w:lang w:val="zh-CN"/>
              </w:rPr>
              <w:t>专业学习满意度</w:t>
            </w:r>
          </w:p>
        </w:tc>
        <w:tc>
          <w:tcPr>
            <w:tcW w:w="1249" w:type="dxa"/>
          </w:tcPr>
          <w:p>
            <w:pPr>
              <w:autoSpaceDE w:val="0"/>
              <w:autoSpaceDN w:val="0"/>
              <w:adjustRightInd w:val="0"/>
              <w:spacing w:line="480" w:lineRule="exact"/>
              <w:jc w:val="center"/>
              <w:rPr>
                <w:rFonts w:ascii="宋体" w:hAnsi="??_GB2312" w:eastAsia="宋体" w:cs="宋体"/>
                <w:b/>
                <w:bCs/>
                <w:kern w:val="0"/>
                <w:sz w:val="24"/>
                <w:szCs w:val="24"/>
                <w:lang w:val="zh-CN"/>
              </w:rPr>
            </w:pPr>
            <w:r>
              <w:rPr>
                <w:rFonts w:hint="eastAsia" w:ascii="宋体" w:hAnsi="??_GB2312" w:eastAsia="宋体" w:cs="宋体"/>
                <w:kern w:val="0"/>
                <w:sz w:val="24"/>
                <w:szCs w:val="24"/>
                <w:lang w:val="zh-CN"/>
              </w:rPr>
              <w:t>实训学习满意度</w:t>
            </w:r>
          </w:p>
        </w:tc>
        <w:tc>
          <w:tcPr>
            <w:tcW w:w="1869" w:type="dxa"/>
          </w:tcPr>
          <w:p>
            <w:pPr>
              <w:autoSpaceDE w:val="0"/>
              <w:autoSpaceDN w:val="0"/>
              <w:adjustRightInd w:val="0"/>
              <w:spacing w:line="480" w:lineRule="exact"/>
              <w:jc w:val="center"/>
              <w:rPr>
                <w:rFonts w:ascii="宋体" w:hAnsi="??_GB2312" w:eastAsia="宋体" w:cs="宋体"/>
                <w:b/>
                <w:bCs/>
                <w:kern w:val="0"/>
                <w:sz w:val="24"/>
                <w:szCs w:val="24"/>
                <w:lang w:val="zh-CN"/>
              </w:rPr>
            </w:pPr>
            <w:r>
              <w:rPr>
                <w:rFonts w:hint="eastAsia" w:ascii="宋体" w:hAnsi="??_GB2312" w:eastAsia="宋体" w:cs="宋体"/>
                <w:kern w:val="0"/>
                <w:sz w:val="24"/>
                <w:szCs w:val="24"/>
                <w:lang w:val="zh-CN"/>
              </w:rPr>
              <w:t>校园文化与社团活动满意度</w:t>
            </w:r>
          </w:p>
        </w:tc>
        <w:tc>
          <w:tcPr>
            <w:tcW w:w="1050" w:type="dxa"/>
          </w:tcPr>
          <w:p>
            <w:pPr>
              <w:autoSpaceDE w:val="0"/>
              <w:autoSpaceDN w:val="0"/>
              <w:adjustRightInd w:val="0"/>
              <w:spacing w:line="480" w:lineRule="exact"/>
              <w:jc w:val="center"/>
              <w:rPr>
                <w:rFonts w:ascii="宋体" w:hAnsi="??_GB2312" w:eastAsia="宋体" w:cs="宋体"/>
                <w:b/>
                <w:bCs/>
                <w:kern w:val="0"/>
                <w:sz w:val="24"/>
                <w:szCs w:val="24"/>
                <w:lang w:val="zh-CN"/>
              </w:rPr>
            </w:pPr>
            <w:r>
              <w:rPr>
                <w:rFonts w:hint="eastAsia" w:ascii="宋体" w:hAnsi="??_GB2312" w:eastAsia="宋体" w:cs="宋体"/>
                <w:kern w:val="0"/>
                <w:sz w:val="24"/>
                <w:szCs w:val="24"/>
                <w:lang w:val="zh-CN"/>
              </w:rPr>
              <w:t>生活满意度</w:t>
            </w:r>
          </w:p>
        </w:tc>
        <w:tc>
          <w:tcPr>
            <w:tcW w:w="1300" w:type="dxa"/>
          </w:tcPr>
          <w:p>
            <w:pPr>
              <w:autoSpaceDE w:val="0"/>
              <w:autoSpaceDN w:val="0"/>
              <w:adjustRightInd w:val="0"/>
              <w:spacing w:line="480" w:lineRule="exact"/>
              <w:jc w:val="center"/>
              <w:rPr>
                <w:rFonts w:ascii="宋体" w:hAnsi="??_GB2312" w:eastAsia="宋体" w:cs="宋体"/>
                <w:b/>
                <w:bCs/>
                <w:kern w:val="0"/>
                <w:sz w:val="24"/>
                <w:szCs w:val="24"/>
                <w:lang w:val="zh-CN"/>
              </w:rPr>
            </w:pPr>
            <w:r>
              <w:rPr>
                <w:rFonts w:hint="eastAsia" w:ascii="宋体" w:hAnsi="??_GB2312" w:eastAsia="宋体" w:cs="宋体"/>
                <w:kern w:val="0"/>
                <w:sz w:val="24"/>
                <w:szCs w:val="24"/>
                <w:lang w:val="zh-CN"/>
              </w:rPr>
              <w:t>校园安全满意度</w:t>
            </w:r>
          </w:p>
        </w:tc>
        <w:tc>
          <w:tcPr>
            <w:tcW w:w="1496" w:type="dxa"/>
          </w:tcPr>
          <w:p>
            <w:pPr>
              <w:autoSpaceDE w:val="0"/>
              <w:autoSpaceDN w:val="0"/>
              <w:adjustRightInd w:val="0"/>
              <w:spacing w:line="480" w:lineRule="exact"/>
              <w:jc w:val="center"/>
              <w:rPr>
                <w:rFonts w:ascii="宋体" w:hAnsi="??_GB2312" w:eastAsia="宋体" w:cs="宋体"/>
                <w:b/>
                <w:bCs/>
                <w:kern w:val="0"/>
                <w:sz w:val="24"/>
                <w:szCs w:val="24"/>
                <w:lang w:val="zh-CN"/>
              </w:rPr>
            </w:pPr>
            <w:r>
              <w:rPr>
                <w:rFonts w:hint="eastAsia" w:ascii="宋体" w:hAnsi="??_GB2312" w:eastAsia="宋体" w:cs="宋体"/>
                <w:kern w:val="0"/>
                <w:sz w:val="24"/>
                <w:szCs w:val="24"/>
                <w:lang w:val="zh-CN"/>
              </w:rPr>
              <w:t>毕业生对学校满意度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248"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95%</w:t>
            </w:r>
          </w:p>
        </w:tc>
        <w:tc>
          <w:tcPr>
            <w:tcW w:w="1248"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94%</w:t>
            </w:r>
          </w:p>
        </w:tc>
        <w:tc>
          <w:tcPr>
            <w:tcW w:w="1249"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94%</w:t>
            </w:r>
          </w:p>
        </w:tc>
        <w:tc>
          <w:tcPr>
            <w:tcW w:w="1869"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95%</w:t>
            </w:r>
          </w:p>
        </w:tc>
        <w:tc>
          <w:tcPr>
            <w:tcW w:w="1050"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100%</w:t>
            </w:r>
          </w:p>
        </w:tc>
        <w:tc>
          <w:tcPr>
            <w:tcW w:w="1300"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100%</w:t>
            </w:r>
          </w:p>
        </w:tc>
        <w:tc>
          <w:tcPr>
            <w:tcW w:w="1496" w:type="dxa"/>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98%</w:t>
            </w:r>
          </w:p>
        </w:tc>
      </w:tr>
    </w:tbl>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outlineLvl w:val="1"/>
        <w:rPr>
          <w:rFonts w:ascii="??_GB2312" w:hAnsi="??_GB2312" w:eastAsia="宋体" w:cs="??_GB2312"/>
          <w:b/>
          <w:bCs/>
          <w:kern w:val="0"/>
          <w:sz w:val="28"/>
          <w:szCs w:val="28"/>
        </w:rPr>
      </w:pPr>
      <w:bookmarkStart w:id="58" w:name="_Toc5625"/>
      <w:bookmarkStart w:id="59" w:name="_Toc32003_WPSOffice_Level2"/>
      <w:bookmarkStart w:id="60" w:name="_Toc6899_WPSOffice_Level2"/>
      <w:bookmarkStart w:id="61" w:name="_Toc3055"/>
      <w:bookmarkStart w:id="62" w:name="_Toc23528"/>
      <w:r>
        <w:rPr>
          <w:rFonts w:hint="eastAsia" w:ascii="宋体" w:hAnsi="??_GB2312" w:eastAsia="宋体" w:cs="宋体"/>
          <w:b/>
          <w:bCs/>
          <w:kern w:val="0"/>
          <w:sz w:val="28"/>
          <w:szCs w:val="28"/>
        </w:rPr>
        <w:t>2</w:t>
      </w:r>
      <w:r>
        <w:rPr>
          <w:rFonts w:hint="eastAsia" w:ascii="宋体" w:hAnsi="??_GB2312" w:eastAsia="宋体" w:cs="宋体"/>
          <w:b/>
          <w:bCs/>
          <w:kern w:val="0"/>
          <w:sz w:val="28"/>
          <w:szCs w:val="28"/>
          <w:lang w:val="zh-CN"/>
        </w:rPr>
        <w:t>.3</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资助情况</w:t>
      </w:r>
      <w:bookmarkEnd w:id="58"/>
      <w:bookmarkEnd w:id="59"/>
      <w:bookmarkEnd w:id="60"/>
      <w:bookmarkEnd w:id="61"/>
      <w:bookmarkEnd w:id="62"/>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lang w:val="zh-CN"/>
        </w:rPr>
        <w:t>学校1853名学生享受国家免学费待遇，为42名学生发放了国家助学金，对贫困生资助金额为10.44万元。助学金的审核与发放，严格按上级制度进行，经过申请、评选、公示、审核确定等几个阶段，确保有限的资金发放到最需要的贫困学生手中。经过深入开展对贫困学生困难状况深入细致的调查、考核工作，建立贫困学生档案（电子档案和纸档案）等一系列工作，学工处做好了学生资助工作基础材料规范化工作，学生申请书、家庭经济情况调查表、家庭经济困难证明、公示材料等填写规范，分类归档。具体见下：</w:t>
      </w:r>
    </w:p>
    <w:p>
      <w:pPr>
        <w:autoSpaceDE w:val="0"/>
        <w:autoSpaceDN w:val="0"/>
        <w:adjustRightInd w:val="0"/>
        <w:spacing w:line="480" w:lineRule="exact"/>
        <w:ind w:firstLine="570"/>
        <w:jc w:val="center"/>
        <w:rPr>
          <w:rFonts w:ascii="宋体" w:hAnsi="??_GB2312" w:eastAsia="宋体" w:cs="宋体"/>
          <w:kern w:val="0"/>
          <w:sz w:val="28"/>
          <w:szCs w:val="28"/>
          <w:lang w:val="zh-CN"/>
        </w:rPr>
      </w:pPr>
      <w:bookmarkStart w:id="63" w:name="_Toc6978_WPSOffice_Level3"/>
      <w:bookmarkStart w:id="64" w:name="_Toc25287_WPSOffice_Level3"/>
      <w:r>
        <w:rPr>
          <w:rFonts w:hint="eastAsia" w:ascii="宋体" w:hAnsi="??_GB2312" w:eastAsia="宋体" w:cs="宋体"/>
          <w:kern w:val="0"/>
          <w:sz w:val="28"/>
          <w:szCs w:val="28"/>
          <w:lang w:val="zh-CN"/>
        </w:rPr>
        <w:t>表6：学生资助情况</w:t>
      </w:r>
      <w:bookmarkEnd w:id="63"/>
      <w:bookmarkEnd w:id="64"/>
    </w:p>
    <w:tbl>
      <w:tblPr>
        <w:tblStyle w:val="6"/>
        <w:tblW w:w="9200" w:type="dxa"/>
        <w:tblInd w:w="201" w:type="dxa"/>
        <w:tblLayout w:type="fixed"/>
        <w:tblCellMar>
          <w:top w:w="0" w:type="dxa"/>
          <w:left w:w="108" w:type="dxa"/>
          <w:bottom w:w="0" w:type="dxa"/>
          <w:right w:w="108" w:type="dxa"/>
        </w:tblCellMar>
      </w:tblPr>
      <w:tblGrid>
        <w:gridCol w:w="1324"/>
        <w:gridCol w:w="1375"/>
        <w:gridCol w:w="1462"/>
        <w:gridCol w:w="1375"/>
        <w:gridCol w:w="1976"/>
        <w:gridCol w:w="1688"/>
      </w:tblGrid>
      <w:tr>
        <w:tblPrEx>
          <w:tblCellMar>
            <w:top w:w="0" w:type="dxa"/>
            <w:left w:w="108" w:type="dxa"/>
            <w:bottom w:w="0" w:type="dxa"/>
            <w:right w:w="108" w:type="dxa"/>
          </w:tblCellMar>
        </w:tblPrEx>
        <w:trPr>
          <w:trHeight w:val="677" w:hRule="atLeast"/>
        </w:trPr>
        <w:tc>
          <w:tcPr>
            <w:tcW w:w="2699" w:type="dxa"/>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国家免学费</w:t>
            </w:r>
          </w:p>
        </w:tc>
        <w:tc>
          <w:tcPr>
            <w:tcW w:w="2837"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国家助学金</w:t>
            </w:r>
          </w:p>
        </w:tc>
        <w:tc>
          <w:tcPr>
            <w:tcW w:w="3664" w:type="dxa"/>
            <w:gridSpan w:val="2"/>
            <w:tcBorders>
              <w:top w:val="single" w:color="000000" w:sz="2" w:space="0"/>
              <w:left w:val="nil"/>
              <w:bottom w:val="single" w:color="000000" w:sz="2" w:space="0"/>
              <w:right w:val="single" w:color="000000" w:sz="2" w:space="0"/>
            </w:tcBorders>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学校对贫困生资助金额（万元）</w:t>
            </w:r>
          </w:p>
        </w:tc>
      </w:tr>
      <w:tr>
        <w:tblPrEx>
          <w:tblCellMar>
            <w:top w:w="0" w:type="dxa"/>
            <w:left w:w="108" w:type="dxa"/>
            <w:bottom w:w="0" w:type="dxa"/>
            <w:right w:w="108" w:type="dxa"/>
          </w:tblCellMar>
        </w:tblPrEx>
        <w:trPr>
          <w:trHeight w:val="677" w:hRule="atLeast"/>
        </w:trPr>
        <w:tc>
          <w:tcPr>
            <w:tcW w:w="1324"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37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c>
          <w:tcPr>
            <w:tcW w:w="146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37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c>
          <w:tcPr>
            <w:tcW w:w="197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1688"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r>
      <w:tr>
        <w:tblPrEx>
          <w:tblCellMar>
            <w:top w:w="0" w:type="dxa"/>
            <w:left w:w="108" w:type="dxa"/>
            <w:bottom w:w="0" w:type="dxa"/>
            <w:right w:w="108" w:type="dxa"/>
          </w:tblCellMar>
        </w:tblPrEx>
        <w:trPr>
          <w:trHeight w:val="702" w:hRule="atLeast"/>
        </w:trPr>
        <w:tc>
          <w:tcPr>
            <w:tcW w:w="1324"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hint="default" w:ascii="宋体" w:hAnsi="??_GB2312" w:eastAsia="宋体" w:cs="宋体"/>
                <w:kern w:val="0"/>
                <w:sz w:val="24"/>
                <w:szCs w:val="24"/>
                <w:lang w:val="en-US" w:eastAsia="zh-CN"/>
              </w:rPr>
            </w:pPr>
            <w:r>
              <w:rPr>
                <w:rFonts w:hint="eastAsia" w:ascii="宋体" w:hAnsi="??_GB2312" w:eastAsia="宋体" w:cs="宋体"/>
                <w:kern w:val="0"/>
                <w:sz w:val="24"/>
                <w:szCs w:val="24"/>
                <w:lang w:val="en-US" w:eastAsia="zh-CN"/>
              </w:rPr>
              <w:t>407.66</w:t>
            </w:r>
          </w:p>
        </w:tc>
        <w:tc>
          <w:tcPr>
            <w:tcW w:w="137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hint="default" w:ascii="宋体" w:hAnsi="??_GB2312" w:eastAsia="宋体" w:cs="宋体"/>
                <w:kern w:val="0"/>
                <w:sz w:val="24"/>
                <w:szCs w:val="24"/>
                <w:lang w:val="en-US" w:eastAsia="zh-CN"/>
              </w:rPr>
            </w:pPr>
            <w:r>
              <w:rPr>
                <w:rFonts w:hint="eastAsia" w:ascii="宋体" w:hAnsi="??_GB2312" w:eastAsia="宋体" w:cs="宋体"/>
                <w:kern w:val="0"/>
                <w:sz w:val="24"/>
                <w:szCs w:val="24"/>
                <w:lang w:val="en-US" w:eastAsia="zh-CN"/>
              </w:rPr>
              <w:t>393.14</w:t>
            </w:r>
          </w:p>
        </w:tc>
        <w:tc>
          <w:tcPr>
            <w:tcW w:w="146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_GB2312" w:eastAsia="宋体" w:cs="宋体"/>
                <w:kern w:val="0"/>
                <w:sz w:val="24"/>
                <w:szCs w:val="24"/>
              </w:rPr>
              <w:t>10.44</w:t>
            </w:r>
          </w:p>
        </w:tc>
        <w:tc>
          <w:tcPr>
            <w:tcW w:w="137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rPr>
              <w:t>15.62</w:t>
            </w:r>
          </w:p>
        </w:tc>
        <w:tc>
          <w:tcPr>
            <w:tcW w:w="197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_GB2312" w:eastAsia="宋体" w:cs="宋体"/>
                <w:kern w:val="0"/>
                <w:sz w:val="24"/>
                <w:szCs w:val="24"/>
              </w:rPr>
              <w:t>10.44</w:t>
            </w:r>
          </w:p>
        </w:tc>
        <w:tc>
          <w:tcPr>
            <w:tcW w:w="1688"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rPr>
              <w:t>15.62</w:t>
            </w:r>
          </w:p>
        </w:tc>
      </w:tr>
    </w:tbl>
    <w:p>
      <w:pPr>
        <w:autoSpaceDE w:val="0"/>
        <w:autoSpaceDN w:val="0"/>
        <w:adjustRightInd w:val="0"/>
        <w:spacing w:line="480" w:lineRule="exact"/>
        <w:ind w:firstLine="562" w:firstLineChars="200"/>
        <w:jc w:val="left"/>
        <w:outlineLvl w:val="1"/>
        <w:rPr>
          <w:rFonts w:ascii="宋体" w:hAnsi="??_GB2312" w:eastAsia="宋体" w:cs="宋体"/>
          <w:b/>
          <w:bCs/>
          <w:kern w:val="0"/>
          <w:sz w:val="28"/>
          <w:szCs w:val="28"/>
          <w:lang w:val="zh-CN"/>
        </w:rPr>
      </w:pPr>
      <w:bookmarkStart w:id="65" w:name="_Toc25287_WPSOffice_Level2"/>
      <w:bookmarkStart w:id="66" w:name="_Toc6077"/>
      <w:bookmarkStart w:id="67" w:name="_Toc4423"/>
      <w:bookmarkStart w:id="68" w:name="_Toc6978_WPSOffice_Level2"/>
      <w:bookmarkStart w:id="69" w:name="_Toc8819"/>
      <w:r>
        <w:rPr>
          <w:rFonts w:hint="eastAsia" w:ascii="宋体" w:hAnsi="??_GB2312" w:eastAsia="宋体" w:cs="宋体"/>
          <w:b/>
          <w:bCs/>
          <w:kern w:val="0"/>
          <w:sz w:val="28"/>
          <w:szCs w:val="28"/>
        </w:rPr>
        <w:t>2</w:t>
      </w:r>
      <w:r>
        <w:rPr>
          <w:rFonts w:hint="eastAsia" w:ascii="宋体" w:hAnsi="??_GB2312" w:eastAsia="宋体" w:cs="宋体"/>
          <w:b/>
          <w:bCs/>
          <w:kern w:val="0"/>
          <w:sz w:val="28"/>
          <w:szCs w:val="28"/>
          <w:lang w:val="zh-CN"/>
        </w:rPr>
        <w:t>.4</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就业质量</w:t>
      </w:r>
      <w:bookmarkEnd w:id="65"/>
      <w:bookmarkEnd w:id="66"/>
      <w:bookmarkEnd w:id="67"/>
      <w:bookmarkEnd w:id="68"/>
      <w:bookmarkEnd w:id="69"/>
    </w:p>
    <w:p>
      <w:pPr>
        <w:autoSpaceDE w:val="0"/>
        <w:autoSpaceDN w:val="0"/>
        <w:adjustRightInd w:val="0"/>
        <w:spacing w:line="480" w:lineRule="exact"/>
        <w:ind w:firstLine="560" w:firstLineChars="200"/>
        <w:jc w:val="left"/>
        <w:rPr>
          <w:rFonts w:ascii="宋体" w:hAnsi="??_GB2312" w:eastAsia="宋体" w:cs="宋体"/>
          <w:kern w:val="0"/>
          <w:sz w:val="28"/>
          <w:szCs w:val="28"/>
          <w:lang w:val="zh-CN"/>
        </w:rPr>
      </w:pPr>
      <w:r>
        <w:rPr>
          <w:rFonts w:hint="eastAsia" w:ascii="宋体" w:hAnsi="??_GB2312" w:eastAsia="宋体" w:cs="宋体"/>
          <w:kern w:val="0"/>
          <w:sz w:val="28"/>
          <w:szCs w:val="28"/>
          <w:lang w:val="zh-CN"/>
        </w:rPr>
        <w:t>学校关注每一位学生的发展，在专业就业率、对口就业率、初次就业起薪、升入高等教育等方面，较去年有了大幅度提高。具体见下表：</w:t>
      </w:r>
    </w:p>
    <w:p>
      <w:pPr>
        <w:autoSpaceDE w:val="0"/>
        <w:autoSpaceDN w:val="0"/>
        <w:adjustRightInd w:val="0"/>
        <w:spacing w:line="480" w:lineRule="exact"/>
        <w:jc w:val="center"/>
        <w:rPr>
          <w:rFonts w:ascii="宋体" w:hAnsi="??_GB2312" w:eastAsia="宋体" w:cs="宋体"/>
          <w:kern w:val="0"/>
          <w:sz w:val="28"/>
          <w:szCs w:val="28"/>
          <w:lang w:val="zh-CN"/>
        </w:rPr>
      </w:pPr>
      <w:bookmarkStart w:id="70" w:name="_Toc10707_WPSOffice_Level3"/>
      <w:bookmarkStart w:id="71" w:name="_Toc15230_WPSOffice_Level3"/>
      <w:r>
        <w:rPr>
          <w:rFonts w:hint="eastAsia" w:ascii="宋体" w:hAnsi="??_GB2312" w:eastAsia="宋体" w:cs="宋体"/>
          <w:kern w:val="0"/>
          <w:sz w:val="28"/>
          <w:szCs w:val="28"/>
          <w:lang w:val="zh-CN"/>
        </w:rPr>
        <w:t>表7：就业情况</w:t>
      </w:r>
      <w:bookmarkEnd w:id="70"/>
      <w:bookmarkEnd w:id="71"/>
    </w:p>
    <w:tbl>
      <w:tblPr>
        <w:tblStyle w:val="7"/>
        <w:tblpPr w:leftFromText="180" w:rightFromText="180" w:vertAnchor="text" w:horzAnchor="page" w:tblpX="1659" w:tblpY="31"/>
        <w:tblOverlap w:val="never"/>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331"/>
        <w:gridCol w:w="1535"/>
        <w:gridCol w:w="1689"/>
        <w:gridCol w:w="1538"/>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809" w:type="dxa"/>
            <w:gridSpan w:val="2"/>
          </w:tcPr>
          <w:p>
            <w:pPr>
              <w:autoSpaceDE w:val="0"/>
              <w:autoSpaceDN w:val="0"/>
              <w:adjustRightInd w:val="0"/>
              <w:spacing w:line="480" w:lineRule="exact"/>
              <w:jc w:val="center"/>
              <w:rPr>
                <w:rFonts w:ascii="宋体" w:hAnsi="??_GB2312" w:eastAsia="宋体" w:cs="宋体"/>
                <w:kern w:val="0"/>
                <w:sz w:val="28"/>
                <w:szCs w:val="28"/>
                <w:lang w:val="zh-CN"/>
              </w:rPr>
            </w:pPr>
            <w:r>
              <w:rPr>
                <w:rFonts w:hint="eastAsia" w:ascii="宋体" w:hAnsi="??_GB2312" w:eastAsia="宋体" w:cs="宋体"/>
                <w:kern w:val="0"/>
                <w:sz w:val="28"/>
                <w:szCs w:val="28"/>
                <w:lang w:val="zh-CN"/>
              </w:rPr>
              <w:t>初次就业率</w:t>
            </w:r>
          </w:p>
        </w:tc>
        <w:tc>
          <w:tcPr>
            <w:tcW w:w="3224" w:type="dxa"/>
            <w:gridSpan w:val="2"/>
          </w:tcPr>
          <w:p>
            <w:pPr>
              <w:autoSpaceDE w:val="0"/>
              <w:autoSpaceDN w:val="0"/>
              <w:adjustRightInd w:val="0"/>
              <w:spacing w:line="480" w:lineRule="exact"/>
              <w:jc w:val="center"/>
              <w:rPr>
                <w:rFonts w:ascii="宋体" w:hAnsi="??_GB2312" w:eastAsia="宋体" w:cs="宋体"/>
                <w:kern w:val="0"/>
                <w:sz w:val="28"/>
                <w:szCs w:val="28"/>
                <w:lang w:val="zh-CN"/>
              </w:rPr>
            </w:pPr>
            <w:r>
              <w:rPr>
                <w:rFonts w:hint="eastAsia" w:ascii="宋体" w:hAnsi="??_GB2312" w:eastAsia="宋体" w:cs="宋体"/>
                <w:kern w:val="0"/>
                <w:sz w:val="28"/>
                <w:szCs w:val="28"/>
                <w:lang w:val="zh-CN"/>
              </w:rPr>
              <w:t>升入高等教育比例</w:t>
            </w:r>
          </w:p>
        </w:tc>
        <w:tc>
          <w:tcPr>
            <w:tcW w:w="3227" w:type="dxa"/>
            <w:gridSpan w:val="2"/>
          </w:tcPr>
          <w:p>
            <w:pPr>
              <w:autoSpaceDE w:val="0"/>
              <w:autoSpaceDN w:val="0"/>
              <w:adjustRightInd w:val="0"/>
              <w:spacing w:line="480" w:lineRule="exact"/>
              <w:jc w:val="center"/>
              <w:rPr>
                <w:rFonts w:ascii="宋体" w:hAnsi="??_GB2312" w:eastAsia="宋体" w:cs="宋体"/>
                <w:kern w:val="0"/>
                <w:sz w:val="28"/>
                <w:szCs w:val="28"/>
                <w:lang w:val="zh-CN"/>
              </w:rPr>
            </w:pPr>
            <w:r>
              <w:rPr>
                <w:rFonts w:hint="eastAsia" w:ascii="宋体" w:hAnsi="??_GB2312" w:eastAsia="宋体" w:cs="宋体"/>
                <w:kern w:val="0"/>
                <w:sz w:val="28"/>
                <w:szCs w:val="28"/>
                <w:lang w:val="zh-CN"/>
              </w:rPr>
              <w:t>对口就业率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78" w:type="dxa"/>
          </w:tcPr>
          <w:p>
            <w:pPr>
              <w:autoSpaceDE w:val="0"/>
              <w:autoSpaceDN w:val="0"/>
              <w:adjustRightInd w:val="0"/>
              <w:spacing w:line="480" w:lineRule="exact"/>
              <w:jc w:val="center"/>
              <w:rPr>
                <w:rFonts w:ascii="宋体" w:hAnsi="??_GB2312" w:eastAsia="宋体" w:cs="宋体"/>
                <w:kern w:val="0"/>
                <w:sz w:val="28"/>
                <w:szCs w:val="28"/>
                <w:lang w:val="zh-CN"/>
              </w:rPr>
            </w:pPr>
            <w:r>
              <w:rPr>
                <w:rFonts w:hint="eastAsia" w:ascii="宋体" w:hAnsi="??_GB2312" w:eastAsia="宋体" w:cs="宋体"/>
                <w:kern w:val="0"/>
                <w:sz w:val="28"/>
                <w:szCs w:val="28"/>
                <w:lang w:val="zh-CN"/>
              </w:rPr>
              <w:t>当年数</w:t>
            </w:r>
          </w:p>
        </w:tc>
        <w:tc>
          <w:tcPr>
            <w:tcW w:w="1331" w:type="dxa"/>
            <w:vAlign w:val="center"/>
          </w:tcPr>
          <w:p>
            <w:pPr>
              <w:autoSpaceDE w:val="0"/>
              <w:autoSpaceDN w:val="0"/>
              <w:adjustRightInd w:val="0"/>
              <w:spacing w:line="480" w:lineRule="exact"/>
              <w:jc w:val="center"/>
              <w:rPr>
                <w:rFonts w:ascii="宋体" w:hAnsi="??_GB2312" w:eastAsia="宋体" w:cs="宋体"/>
                <w:color w:val="auto"/>
                <w:kern w:val="0"/>
                <w:sz w:val="22"/>
                <w:lang w:val="zh-CN"/>
              </w:rPr>
            </w:pPr>
            <w:r>
              <w:rPr>
                <w:rFonts w:hint="eastAsia" w:ascii="宋体" w:hAnsi="??_GB2312" w:eastAsia="宋体" w:cs="宋体"/>
                <w:color w:val="auto"/>
                <w:kern w:val="0"/>
                <w:sz w:val="28"/>
                <w:szCs w:val="28"/>
                <w:lang w:val="zh-CN"/>
              </w:rPr>
              <w:t>上年数</w:t>
            </w:r>
          </w:p>
        </w:tc>
        <w:tc>
          <w:tcPr>
            <w:tcW w:w="1535" w:type="dxa"/>
            <w:vAlign w:val="center"/>
          </w:tcPr>
          <w:p>
            <w:pPr>
              <w:autoSpaceDE w:val="0"/>
              <w:autoSpaceDN w:val="0"/>
              <w:adjustRightInd w:val="0"/>
              <w:spacing w:line="480" w:lineRule="exact"/>
              <w:jc w:val="center"/>
              <w:rPr>
                <w:rFonts w:ascii="宋体" w:hAnsi="??_GB2312" w:eastAsia="宋体" w:cs="宋体"/>
                <w:kern w:val="0"/>
                <w:sz w:val="22"/>
                <w:lang w:val="zh-CN"/>
              </w:rPr>
            </w:pPr>
            <w:r>
              <w:rPr>
                <w:rFonts w:hint="eastAsia" w:ascii="宋体" w:hAnsi="??_GB2312" w:eastAsia="宋体" w:cs="宋体"/>
                <w:kern w:val="0"/>
                <w:sz w:val="28"/>
                <w:szCs w:val="28"/>
                <w:lang w:val="zh-CN"/>
              </w:rPr>
              <w:t>当年数</w:t>
            </w:r>
          </w:p>
        </w:tc>
        <w:tc>
          <w:tcPr>
            <w:tcW w:w="1689" w:type="dxa"/>
            <w:vAlign w:val="center"/>
          </w:tcPr>
          <w:p>
            <w:pPr>
              <w:autoSpaceDE w:val="0"/>
              <w:autoSpaceDN w:val="0"/>
              <w:adjustRightInd w:val="0"/>
              <w:spacing w:line="480" w:lineRule="exact"/>
              <w:jc w:val="center"/>
              <w:rPr>
                <w:rFonts w:ascii="宋体" w:hAnsi="??_GB2312" w:eastAsia="宋体" w:cs="宋体"/>
                <w:kern w:val="0"/>
                <w:sz w:val="22"/>
                <w:lang w:val="zh-CN"/>
              </w:rPr>
            </w:pPr>
            <w:r>
              <w:rPr>
                <w:rFonts w:hint="eastAsia" w:ascii="宋体" w:hAnsi="??_GB2312" w:eastAsia="宋体" w:cs="宋体"/>
                <w:kern w:val="0"/>
                <w:sz w:val="28"/>
                <w:szCs w:val="28"/>
                <w:lang w:val="zh-CN"/>
              </w:rPr>
              <w:t>上年数</w:t>
            </w:r>
          </w:p>
        </w:tc>
        <w:tc>
          <w:tcPr>
            <w:tcW w:w="1538" w:type="dxa"/>
            <w:vAlign w:val="center"/>
          </w:tcPr>
          <w:p>
            <w:pPr>
              <w:autoSpaceDE w:val="0"/>
              <w:autoSpaceDN w:val="0"/>
              <w:adjustRightInd w:val="0"/>
              <w:spacing w:line="480" w:lineRule="exact"/>
              <w:jc w:val="center"/>
              <w:rPr>
                <w:rFonts w:ascii="宋体" w:hAnsi="??_GB2312" w:eastAsia="宋体" w:cs="宋体"/>
                <w:kern w:val="0"/>
                <w:sz w:val="22"/>
                <w:lang w:val="zh-CN"/>
              </w:rPr>
            </w:pPr>
            <w:r>
              <w:rPr>
                <w:rFonts w:hint="eastAsia" w:ascii="宋体" w:hAnsi="??_GB2312" w:eastAsia="宋体" w:cs="宋体"/>
                <w:kern w:val="0"/>
                <w:sz w:val="28"/>
                <w:szCs w:val="28"/>
                <w:lang w:val="zh-CN"/>
              </w:rPr>
              <w:t>当年数</w:t>
            </w:r>
          </w:p>
        </w:tc>
        <w:tc>
          <w:tcPr>
            <w:tcW w:w="1689" w:type="dxa"/>
            <w:vAlign w:val="center"/>
          </w:tcPr>
          <w:p>
            <w:pPr>
              <w:autoSpaceDE w:val="0"/>
              <w:autoSpaceDN w:val="0"/>
              <w:adjustRightInd w:val="0"/>
              <w:spacing w:line="480" w:lineRule="exact"/>
              <w:jc w:val="center"/>
              <w:rPr>
                <w:rFonts w:ascii="宋体" w:hAnsi="??_GB2312" w:eastAsia="宋体" w:cs="宋体"/>
                <w:kern w:val="0"/>
                <w:sz w:val="22"/>
                <w:lang w:val="zh-CN"/>
              </w:rPr>
            </w:pPr>
            <w:r>
              <w:rPr>
                <w:rFonts w:hint="eastAsia" w:ascii="宋体" w:hAnsi="??_GB2312" w:eastAsia="宋体" w:cs="宋体"/>
                <w:kern w:val="0"/>
                <w:sz w:val="28"/>
                <w:szCs w:val="28"/>
                <w:lang w:val="zh-CN"/>
              </w:rPr>
              <w:t>上年数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478" w:type="dxa"/>
          </w:tcPr>
          <w:p>
            <w:pPr>
              <w:autoSpaceDE w:val="0"/>
              <w:autoSpaceDN w:val="0"/>
              <w:adjustRightInd w:val="0"/>
              <w:spacing w:line="480" w:lineRule="exact"/>
              <w:jc w:val="center"/>
              <w:rPr>
                <w:rFonts w:ascii="宋体" w:hAnsi="??_GB2312" w:eastAsia="宋体" w:cs="宋体"/>
                <w:kern w:val="0"/>
                <w:szCs w:val="21"/>
                <w:lang w:val="zh-CN"/>
              </w:rPr>
            </w:pPr>
            <w:r>
              <w:rPr>
                <w:rFonts w:hint="eastAsia" w:ascii="宋体" w:hAnsi="??_GB2312" w:eastAsia="宋体" w:cs="宋体"/>
                <w:kern w:val="0"/>
                <w:szCs w:val="21"/>
              </w:rPr>
              <w:t>99.68</w:t>
            </w:r>
            <w:r>
              <w:rPr>
                <w:rFonts w:hint="eastAsia" w:ascii="宋体" w:hAnsi="??_GB2312" w:eastAsia="宋体" w:cs="宋体"/>
                <w:kern w:val="0"/>
                <w:szCs w:val="21"/>
                <w:lang w:val="zh-CN"/>
              </w:rPr>
              <w:t>%</w:t>
            </w:r>
          </w:p>
        </w:tc>
        <w:tc>
          <w:tcPr>
            <w:tcW w:w="1331" w:type="dxa"/>
            <w:vAlign w:val="center"/>
          </w:tcPr>
          <w:p>
            <w:pPr>
              <w:autoSpaceDE w:val="0"/>
              <w:autoSpaceDN w:val="0"/>
              <w:adjustRightInd w:val="0"/>
              <w:spacing w:line="480" w:lineRule="exact"/>
              <w:jc w:val="center"/>
              <w:rPr>
                <w:rFonts w:hint="default" w:ascii="宋体" w:hAnsi="??_GB2312" w:eastAsia="宋体" w:cs="宋体"/>
                <w:color w:val="auto"/>
                <w:kern w:val="0"/>
                <w:szCs w:val="21"/>
              </w:rPr>
            </w:pPr>
            <w:r>
              <w:rPr>
                <w:rFonts w:hint="eastAsia" w:ascii="宋体" w:hAnsi="??_GB2312" w:eastAsia="宋体" w:cs="宋体"/>
                <w:kern w:val="0"/>
                <w:szCs w:val="21"/>
              </w:rPr>
              <w:t>99.6</w:t>
            </w:r>
            <w:r>
              <w:rPr>
                <w:rFonts w:hint="eastAsia" w:ascii="宋体" w:hAnsi="??_GB2312" w:eastAsia="宋体" w:cs="宋体"/>
                <w:kern w:val="0"/>
                <w:szCs w:val="21"/>
                <w:lang w:val="en-US" w:eastAsia="zh-CN"/>
              </w:rPr>
              <w:t>0</w:t>
            </w:r>
            <w:r>
              <w:rPr>
                <w:rFonts w:hint="eastAsia" w:ascii="宋体" w:hAnsi="??_GB2312" w:eastAsia="宋体" w:cs="宋体"/>
                <w:kern w:val="0"/>
                <w:szCs w:val="21"/>
                <w:lang w:val="zh-CN"/>
              </w:rPr>
              <w:t>%</w:t>
            </w:r>
          </w:p>
        </w:tc>
        <w:tc>
          <w:tcPr>
            <w:tcW w:w="1535" w:type="dxa"/>
            <w:vAlign w:val="center"/>
          </w:tcPr>
          <w:p>
            <w:pPr>
              <w:autoSpaceDE w:val="0"/>
              <w:autoSpaceDN w:val="0"/>
              <w:adjustRightInd w:val="0"/>
              <w:spacing w:line="480" w:lineRule="exact"/>
              <w:jc w:val="center"/>
              <w:rPr>
                <w:rFonts w:ascii="宋体" w:hAnsi="??_GB2312" w:eastAsia="宋体" w:cs="宋体"/>
                <w:kern w:val="0"/>
                <w:szCs w:val="21"/>
                <w:lang w:val="zh-CN"/>
              </w:rPr>
            </w:pPr>
            <w:r>
              <w:rPr>
                <w:rFonts w:hint="eastAsia" w:ascii="宋体" w:hAnsi="??_GB2312" w:eastAsia="宋体" w:cs="宋体"/>
                <w:kern w:val="0"/>
                <w:szCs w:val="21"/>
              </w:rPr>
              <w:t>97.75</w:t>
            </w:r>
            <w:r>
              <w:rPr>
                <w:rFonts w:hint="eastAsia" w:ascii="宋体" w:hAnsi="??_GB2312" w:eastAsia="宋体" w:cs="宋体"/>
                <w:kern w:val="0"/>
                <w:szCs w:val="21"/>
                <w:lang w:val="zh-CN"/>
              </w:rPr>
              <w:t>%</w:t>
            </w:r>
          </w:p>
        </w:tc>
        <w:tc>
          <w:tcPr>
            <w:tcW w:w="1689" w:type="dxa"/>
            <w:vAlign w:val="center"/>
          </w:tcPr>
          <w:p>
            <w:pPr>
              <w:autoSpaceDE w:val="0"/>
              <w:autoSpaceDN w:val="0"/>
              <w:adjustRightInd w:val="0"/>
              <w:spacing w:line="480" w:lineRule="exact"/>
              <w:jc w:val="center"/>
              <w:rPr>
                <w:rFonts w:ascii="宋体" w:hAnsi="??_GB2312" w:eastAsia="宋体" w:cs="宋体"/>
                <w:kern w:val="0"/>
                <w:szCs w:val="21"/>
                <w:lang w:val="zh-CN"/>
              </w:rPr>
            </w:pPr>
            <w:r>
              <w:rPr>
                <w:rFonts w:hint="eastAsia" w:ascii="宋体" w:hAnsi="??_GB2312" w:eastAsia="宋体" w:cs="宋体"/>
                <w:kern w:val="0"/>
                <w:szCs w:val="21"/>
                <w:lang w:val="zh-CN"/>
              </w:rPr>
              <w:t>92.</w:t>
            </w:r>
            <w:r>
              <w:rPr>
                <w:rFonts w:hint="eastAsia" w:ascii="宋体" w:hAnsi="??_GB2312" w:eastAsia="宋体" w:cs="宋体"/>
                <w:kern w:val="0"/>
                <w:szCs w:val="21"/>
              </w:rPr>
              <w:t>26</w:t>
            </w:r>
            <w:r>
              <w:rPr>
                <w:rFonts w:hint="eastAsia" w:ascii="宋体" w:hAnsi="??_GB2312" w:eastAsia="宋体" w:cs="宋体"/>
                <w:kern w:val="0"/>
                <w:szCs w:val="21"/>
                <w:lang w:val="zh-CN"/>
              </w:rPr>
              <w:t>%</w:t>
            </w:r>
          </w:p>
        </w:tc>
        <w:tc>
          <w:tcPr>
            <w:tcW w:w="1538" w:type="dxa"/>
            <w:vAlign w:val="center"/>
          </w:tcPr>
          <w:p>
            <w:pPr>
              <w:autoSpaceDE w:val="0"/>
              <w:autoSpaceDN w:val="0"/>
              <w:adjustRightInd w:val="0"/>
              <w:spacing w:line="480" w:lineRule="exact"/>
              <w:jc w:val="center"/>
              <w:rPr>
                <w:rFonts w:ascii="宋体" w:hAnsi="??_GB2312" w:eastAsia="宋体" w:cs="宋体"/>
                <w:kern w:val="0"/>
                <w:szCs w:val="21"/>
                <w:lang w:val="zh-CN"/>
              </w:rPr>
            </w:pPr>
            <w:r>
              <w:rPr>
                <w:rFonts w:hint="eastAsia" w:ascii="宋体" w:hAnsi="??_GB2312" w:eastAsia="宋体" w:cs="宋体"/>
                <w:kern w:val="0"/>
                <w:szCs w:val="21"/>
                <w:lang w:val="zh-CN"/>
              </w:rPr>
              <w:t>100%</w:t>
            </w:r>
          </w:p>
        </w:tc>
        <w:tc>
          <w:tcPr>
            <w:tcW w:w="1689" w:type="dxa"/>
            <w:vAlign w:val="center"/>
          </w:tcPr>
          <w:p>
            <w:pPr>
              <w:autoSpaceDE w:val="0"/>
              <w:autoSpaceDN w:val="0"/>
              <w:adjustRightInd w:val="0"/>
              <w:spacing w:line="480" w:lineRule="exact"/>
              <w:jc w:val="center"/>
              <w:rPr>
                <w:rFonts w:ascii="宋体" w:hAnsi="??_GB2312" w:eastAsia="宋体" w:cs="宋体"/>
                <w:kern w:val="0"/>
                <w:szCs w:val="21"/>
                <w:lang w:val="zh-CN"/>
              </w:rPr>
            </w:pPr>
            <w:r>
              <w:rPr>
                <w:rFonts w:hint="eastAsia" w:ascii="宋体" w:hAnsi="??_GB2312" w:eastAsia="宋体" w:cs="宋体"/>
                <w:kern w:val="0"/>
                <w:szCs w:val="21"/>
                <w:lang w:val="zh-CN"/>
              </w:rPr>
              <w:t>100%</w:t>
            </w:r>
          </w:p>
        </w:tc>
      </w:tr>
    </w:tbl>
    <w:p>
      <w:pPr>
        <w:autoSpaceDE w:val="0"/>
        <w:autoSpaceDN w:val="0"/>
        <w:adjustRightInd w:val="0"/>
        <w:spacing w:line="480" w:lineRule="exact"/>
        <w:ind w:firstLine="2800" w:firstLineChars="1000"/>
        <w:jc w:val="left"/>
        <w:rPr>
          <w:rFonts w:ascii="宋体" w:hAnsi="??_GB2312" w:eastAsia="宋体" w:cs="宋体"/>
          <w:kern w:val="0"/>
          <w:sz w:val="28"/>
          <w:szCs w:val="28"/>
          <w:lang w:val="zh-CN"/>
        </w:rPr>
      </w:pPr>
      <w:r>
        <w:rPr>
          <w:rFonts w:hint="eastAsia" w:ascii="宋体" w:hAnsi="??_GB2312" w:eastAsia="宋体" w:cs="宋体"/>
          <w:kern w:val="0"/>
          <w:sz w:val="28"/>
          <w:szCs w:val="28"/>
          <w:lang w:val="zh-CN"/>
        </w:rPr>
        <w:t>表8：初次就业起薪比例</w:t>
      </w:r>
    </w:p>
    <w:tbl>
      <w:tblPr>
        <w:tblStyle w:val="6"/>
        <w:tblW w:w="9260" w:type="dxa"/>
        <w:tblInd w:w="108" w:type="dxa"/>
        <w:tblLayout w:type="fixed"/>
        <w:tblCellMar>
          <w:top w:w="0" w:type="dxa"/>
          <w:left w:w="108" w:type="dxa"/>
          <w:bottom w:w="0" w:type="dxa"/>
          <w:right w:w="108" w:type="dxa"/>
        </w:tblCellMar>
      </w:tblPr>
      <w:tblGrid>
        <w:gridCol w:w="1064"/>
        <w:gridCol w:w="1062"/>
        <w:gridCol w:w="1214"/>
        <w:gridCol w:w="1062"/>
        <w:gridCol w:w="1216"/>
        <w:gridCol w:w="1213"/>
        <w:gridCol w:w="1215"/>
        <w:gridCol w:w="1214"/>
      </w:tblGrid>
      <w:tr>
        <w:tblPrEx>
          <w:tblCellMar>
            <w:top w:w="0" w:type="dxa"/>
            <w:left w:w="108" w:type="dxa"/>
            <w:bottom w:w="0" w:type="dxa"/>
            <w:right w:w="108" w:type="dxa"/>
          </w:tblCellMar>
        </w:tblPrEx>
        <w:trPr>
          <w:trHeight w:val="504" w:hRule="atLeast"/>
        </w:trPr>
        <w:tc>
          <w:tcPr>
            <w:tcW w:w="4402" w:type="dxa"/>
            <w:gridSpan w:val="4"/>
            <w:tcBorders>
              <w:top w:val="single" w:color="000000" w:sz="2" w:space="0"/>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4858" w:type="dxa"/>
            <w:gridSpan w:val="4"/>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r>
      <w:tr>
        <w:tblPrEx>
          <w:tblCellMar>
            <w:top w:w="0" w:type="dxa"/>
            <w:left w:w="108" w:type="dxa"/>
            <w:bottom w:w="0" w:type="dxa"/>
            <w:right w:w="108" w:type="dxa"/>
          </w:tblCellMar>
        </w:tblPrEx>
        <w:trPr>
          <w:trHeight w:val="995" w:hRule="atLeast"/>
        </w:trPr>
        <w:tc>
          <w:tcPr>
            <w:tcW w:w="1064"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1000</w:t>
            </w:r>
            <w:r>
              <w:rPr>
                <w:rFonts w:hint="eastAsia" w:ascii="宋体" w:hAnsi="??_GB2312" w:eastAsia="宋体" w:cs="宋体"/>
                <w:kern w:val="0"/>
                <w:sz w:val="24"/>
                <w:szCs w:val="24"/>
                <w:lang w:val="zh-CN"/>
              </w:rPr>
              <w:t>元</w:t>
            </w:r>
          </w:p>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以下</w:t>
            </w:r>
          </w:p>
        </w:tc>
        <w:tc>
          <w:tcPr>
            <w:tcW w:w="106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spacing w:val="-20"/>
                <w:kern w:val="0"/>
                <w:sz w:val="24"/>
                <w:szCs w:val="24"/>
              </w:rPr>
              <w:t>1000</w:t>
            </w:r>
            <w:r>
              <w:rPr>
                <w:rFonts w:hint="eastAsia" w:ascii="宋体" w:hAnsi="??_GB2312" w:eastAsia="宋体" w:cs="宋体"/>
                <w:spacing w:val="-20"/>
                <w:kern w:val="0"/>
                <w:sz w:val="24"/>
                <w:szCs w:val="24"/>
                <w:lang w:val="zh-CN"/>
              </w:rPr>
              <w:t>元</w:t>
            </w:r>
            <w:r>
              <w:rPr>
                <w:rFonts w:ascii="??_GB2312" w:hAnsi="??_GB2312" w:eastAsia="宋体" w:cs="??_GB2312"/>
                <w:spacing w:val="-20"/>
                <w:kern w:val="0"/>
                <w:sz w:val="24"/>
                <w:szCs w:val="24"/>
              </w:rPr>
              <w:t>-2000</w:t>
            </w:r>
            <w:r>
              <w:rPr>
                <w:rFonts w:hint="eastAsia" w:ascii="宋体" w:hAnsi="??_GB2312" w:eastAsia="宋体" w:cs="宋体"/>
                <w:spacing w:val="-20"/>
                <w:kern w:val="0"/>
                <w:sz w:val="24"/>
                <w:szCs w:val="24"/>
                <w:lang w:val="zh-CN"/>
              </w:rPr>
              <w:t>元</w:t>
            </w:r>
          </w:p>
        </w:tc>
        <w:tc>
          <w:tcPr>
            <w:tcW w:w="1214"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2000</w:t>
            </w:r>
            <w:r>
              <w:rPr>
                <w:rFonts w:hint="eastAsia" w:ascii="宋体" w:hAnsi="??_GB2312" w:eastAsia="宋体" w:cs="宋体"/>
                <w:kern w:val="0"/>
                <w:sz w:val="24"/>
                <w:szCs w:val="24"/>
                <w:lang w:val="zh-CN"/>
              </w:rPr>
              <w:t>元</w:t>
            </w:r>
          </w:p>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-3000</w:t>
            </w:r>
            <w:r>
              <w:rPr>
                <w:rFonts w:hint="eastAsia" w:ascii="宋体" w:hAnsi="??_GB2312" w:eastAsia="宋体" w:cs="宋体"/>
                <w:kern w:val="0"/>
                <w:sz w:val="24"/>
                <w:szCs w:val="24"/>
                <w:lang w:val="zh-CN"/>
              </w:rPr>
              <w:t>元</w:t>
            </w:r>
          </w:p>
        </w:tc>
        <w:tc>
          <w:tcPr>
            <w:tcW w:w="106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3000</w:t>
            </w:r>
            <w:r>
              <w:rPr>
                <w:rFonts w:hint="eastAsia" w:ascii="宋体" w:hAnsi="??_GB2312" w:eastAsia="宋体" w:cs="宋体"/>
                <w:kern w:val="0"/>
                <w:sz w:val="24"/>
                <w:szCs w:val="24"/>
                <w:lang w:val="zh-CN"/>
              </w:rPr>
              <w:t>元以上</w:t>
            </w:r>
          </w:p>
        </w:tc>
        <w:tc>
          <w:tcPr>
            <w:tcW w:w="121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1000</w:t>
            </w:r>
            <w:r>
              <w:rPr>
                <w:rFonts w:hint="eastAsia" w:ascii="宋体" w:hAnsi="??_GB2312" w:eastAsia="宋体" w:cs="宋体"/>
                <w:kern w:val="0"/>
                <w:sz w:val="24"/>
                <w:szCs w:val="24"/>
                <w:lang w:val="zh-CN"/>
              </w:rPr>
              <w:t>元以下</w:t>
            </w:r>
          </w:p>
        </w:tc>
        <w:tc>
          <w:tcPr>
            <w:tcW w:w="121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1000</w:t>
            </w:r>
            <w:r>
              <w:rPr>
                <w:rFonts w:hint="eastAsia" w:ascii="宋体" w:hAnsi="??_GB2312" w:eastAsia="宋体" w:cs="宋体"/>
                <w:kern w:val="0"/>
                <w:sz w:val="24"/>
                <w:szCs w:val="24"/>
                <w:lang w:val="zh-CN"/>
              </w:rPr>
              <w:t>元</w:t>
            </w:r>
          </w:p>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-2000</w:t>
            </w:r>
            <w:r>
              <w:rPr>
                <w:rFonts w:hint="eastAsia" w:ascii="宋体" w:hAnsi="??_GB2312" w:eastAsia="宋体" w:cs="宋体"/>
                <w:kern w:val="0"/>
                <w:sz w:val="24"/>
                <w:szCs w:val="24"/>
                <w:lang w:val="zh-CN"/>
              </w:rPr>
              <w:t>元</w:t>
            </w:r>
          </w:p>
        </w:tc>
        <w:tc>
          <w:tcPr>
            <w:tcW w:w="121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kern w:val="0"/>
                <w:sz w:val="24"/>
                <w:szCs w:val="24"/>
              </w:rPr>
            </w:pPr>
            <w:r>
              <w:rPr>
                <w:rFonts w:ascii="??_GB2312" w:hAnsi="??_GB2312" w:eastAsia="宋体" w:cs="??_GB2312"/>
                <w:kern w:val="0"/>
                <w:sz w:val="24"/>
                <w:szCs w:val="24"/>
              </w:rPr>
              <w:t>2000</w:t>
            </w:r>
            <w:r>
              <w:rPr>
                <w:rFonts w:hint="eastAsia" w:ascii="宋体" w:hAnsi="??_GB2312" w:eastAsia="宋体" w:cs="宋体"/>
                <w:kern w:val="0"/>
                <w:sz w:val="24"/>
                <w:szCs w:val="24"/>
                <w:lang w:val="zh-CN"/>
              </w:rPr>
              <w:t>元</w:t>
            </w:r>
          </w:p>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-3000</w:t>
            </w:r>
            <w:r>
              <w:rPr>
                <w:rFonts w:hint="eastAsia" w:ascii="宋体" w:hAnsi="??_GB2312" w:eastAsia="宋体" w:cs="宋体"/>
                <w:kern w:val="0"/>
                <w:sz w:val="24"/>
                <w:szCs w:val="24"/>
                <w:lang w:val="zh-CN"/>
              </w:rPr>
              <w:t>元</w:t>
            </w:r>
          </w:p>
        </w:tc>
        <w:tc>
          <w:tcPr>
            <w:tcW w:w="1214"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3000</w:t>
            </w:r>
            <w:r>
              <w:rPr>
                <w:rFonts w:hint="eastAsia" w:ascii="宋体" w:hAnsi="??_GB2312" w:eastAsia="宋体" w:cs="宋体"/>
                <w:kern w:val="0"/>
                <w:sz w:val="24"/>
                <w:szCs w:val="24"/>
                <w:lang w:val="zh-CN"/>
              </w:rPr>
              <w:t>元以上</w:t>
            </w:r>
          </w:p>
        </w:tc>
      </w:tr>
      <w:tr>
        <w:tblPrEx>
          <w:tblCellMar>
            <w:top w:w="0" w:type="dxa"/>
            <w:left w:w="108" w:type="dxa"/>
            <w:bottom w:w="0" w:type="dxa"/>
            <w:right w:w="108" w:type="dxa"/>
          </w:tblCellMar>
        </w:tblPrEx>
        <w:trPr>
          <w:trHeight w:val="520" w:hRule="atLeast"/>
        </w:trPr>
        <w:tc>
          <w:tcPr>
            <w:tcW w:w="1064"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0</w:t>
            </w:r>
          </w:p>
        </w:tc>
        <w:tc>
          <w:tcPr>
            <w:tcW w:w="106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0</w:t>
            </w:r>
          </w:p>
        </w:tc>
        <w:tc>
          <w:tcPr>
            <w:tcW w:w="1214"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70</w:t>
            </w:r>
            <w:r>
              <w:rPr>
                <w:rFonts w:ascii="??_GB2312" w:hAnsi="??_GB2312" w:eastAsia="宋体" w:cs="??_GB2312"/>
                <w:kern w:val="0"/>
                <w:sz w:val="24"/>
                <w:szCs w:val="24"/>
              </w:rPr>
              <w:t>%</w:t>
            </w:r>
          </w:p>
        </w:tc>
        <w:tc>
          <w:tcPr>
            <w:tcW w:w="106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_GB2312" w:hAnsi="??_GB2312" w:eastAsia="宋体" w:cs="??_GB2312"/>
                <w:kern w:val="0"/>
                <w:sz w:val="24"/>
                <w:szCs w:val="24"/>
              </w:rPr>
              <w:t>30%</w:t>
            </w:r>
          </w:p>
        </w:tc>
        <w:tc>
          <w:tcPr>
            <w:tcW w:w="121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ascii="??_GB2312" w:hAnsi="??_GB2312" w:eastAsia="宋体" w:cs="??_GB2312"/>
                <w:kern w:val="0"/>
                <w:sz w:val="24"/>
                <w:szCs w:val="24"/>
              </w:rPr>
              <w:t>0</w:t>
            </w:r>
          </w:p>
        </w:tc>
        <w:tc>
          <w:tcPr>
            <w:tcW w:w="121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0</w:t>
            </w:r>
          </w:p>
        </w:tc>
        <w:tc>
          <w:tcPr>
            <w:tcW w:w="121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72%</w:t>
            </w:r>
          </w:p>
        </w:tc>
        <w:tc>
          <w:tcPr>
            <w:tcW w:w="1214"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28</w:t>
            </w:r>
            <w:r>
              <w:rPr>
                <w:rFonts w:ascii="??_GB2312" w:hAnsi="??_GB2312" w:eastAsia="宋体" w:cs="??_GB2312"/>
                <w:kern w:val="0"/>
                <w:sz w:val="24"/>
                <w:szCs w:val="24"/>
              </w:rPr>
              <w:t>%</w:t>
            </w:r>
          </w:p>
        </w:tc>
      </w:tr>
    </w:tbl>
    <w:p>
      <w:pPr>
        <w:autoSpaceDE w:val="0"/>
        <w:autoSpaceDN w:val="0"/>
        <w:adjustRightInd w:val="0"/>
        <w:spacing w:line="480" w:lineRule="exact"/>
        <w:ind w:firstLine="573"/>
        <w:rPr>
          <w:rFonts w:ascii="宋体" w:hAnsi="??_GB2312" w:eastAsia="宋体" w:cs="宋体"/>
          <w:b/>
          <w:bCs/>
          <w:kern w:val="0"/>
          <w:sz w:val="28"/>
          <w:szCs w:val="28"/>
          <w:lang w:val="zh-CN"/>
        </w:rPr>
      </w:pPr>
    </w:p>
    <w:p>
      <w:pPr>
        <w:autoSpaceDE w:val="0"/>
        <w:autoSpaceDN w:val="0"/>
        <w:adjustRightInd w:val="0"/>
        <w:spacing w:line="480" w:lineRule="exact"/>
        <w:ind w:firstLine="573"/>
        <w:outlineLvl w:val="1"/>
        <w:rPr>
          <w:rFonts w:ascii="??_GB2312" w:hAnsi="??_GB2312" w:eastAsia="宋体" w:cs="??_GB2312"/>
          <w:b/>
          <w:bCs/>
          <w:kern w:val="0"/>
          <w:sz w:val="28"/>
          <w:szCs w:val="28"/>
        </w:rPr>
      </w:pPr>
      <w:bookmarkStart w:id="72" w:name="_Toc15230_WPSOffice_Level2"/>
      <w:bookmarkStart w:id="73" w:name="_Toc10707_WPSOffice_Level2"/>
      <w:bookmarkStart w:id="74" w:name="_Toc14421"/>
      <w:bookmarkStart w:id="75" w:name="_Toc11540"/>
      <w:bookmarkStart w:id="76" w:name="_Toc21912"/>
      <w:r>
        <w:rPr>
          <w:rFonts w:hint="eastAsia" w:ascii="宋体" w:hAnsi="??_GB2312" w:eastAsia="宋体" w:cs="宋体"/>
          <w:b/>
          <w:bCs/>
          <w:kern w:val="0"/>
          <w:sz w:val="28"/>
          <w:szCs w:val="28"/>
        </w:rPr>
        <w:t>2</w:t>
      </w:r>
      <w:r>
        <w:rPr>
          <w:rFonts w:hint="eastAsia" w:ascii="宋体" w:hAnsi="??_GB2312" w:eastAsia="宋体" w:cs="宋体"/>
          <w:b/>
          <w:bCs/>
          <w:kern w:val="0"/>
          <w:sz w:val="28"/>
          <w:szCs w:val="28"/>
          <w:lang w:val="zh-CN"/>
        </w:rPr>
        <w:t>.5</w:t>
      </w:r>
      <w:r>
        <w:rPr>
          <w:rFonts w:hint="eastAsia" w:ascii="宋体" w:hAnsi="??_GB2312" w:eastAsia="宋体" w:cs="宋体"/>
          <w:b/>
          <w:bCs/>
          <w:kern w:val="0"/>
          <w:sz w:val="28"/>
          <w:szCs w:val="28"/>
        </w:rPr>
        <w:t xml:space="preserve"> </w:t>
      </w:r>
      <w:r>
        <w:rPr>
          <w:rFonts w:hint="eastAsia" w:ascii="宋体" w:hAnsi="??_GB2312" w:eastAsia="宋体" w:cs="宋体"/>
          <w:b/>
          <w:bCs/>
          <w:kern w:val="0"/>
          <w:sz w:val="28"/>
          <w:szCs w:val="28"/>
          <w:lang w:val="zh-CN"/>
        </w:rPr>
        <w:t>职业发展</w:t>
      </w:r>
      <w:bookmarkEnd w:id="72"/>
      <w:bookmarkEnd w:id="73"/>
      <w:bookmarkEnd w:id="74"/>
      <w:bookmarkEnd w:id="75"/>
      <w:bookmarkEnd w:id="76"/>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lang w:val="zh-CN"/>
        </w:rPr>
        <w:t>学校关注与地方经济发展的对接，注重培训学生的专业技能、专业素养，通过开设职业生涯规划课，理实一体化教学增强学生的岗位适应能力和岗位迁移能力。在“大众创业、万众创新”的形势下，学校积极寻求突破，为学生提供创业创新的机会和平台。毕业生就业率99.68% (包含升学)，其中97.75%学生升入高等教育继续深造，1.93%学生直接进入企事业单位工作。</w:t>
      </w:r>
    </w:p>
    <w:p>
      <w:pPr>
        <w:pStyle w:val="10"/>
        <w:autoSpaceDE w:val="0"/>
        <w:autoSpaceDN w:val="0"/>
        <w:adjustRightInd w:val="0"/>
        <w:spacing w:line="480" w:lineRule="exact"/>
        <w:ind w:left="567" w:firstLine="0" w:firstLineChars="0"/>
        <w:outlineLvl w:val="0"/>
        <w:rPr>
          <w:rFonts w:ascii="宋体" w:hAnsi="??_GB2312" w:eastAsia="宋体" w:cs="宋体"/>
          <w:kern w:val="0"/>
          <w:sz w:val="28"/>
          <w:szCs w:val="28"/>
          <w:lang w:val="zh-CN"/>
        </w:rPr>
      </w:pPr>
      <w:bookmarkStart w:id="77" w:name="_Toc15322_WPSOffice_Level1"/>
      <w:bookmarkStart w:id="78" w:name="_Toc4548"/>
      <w:bookmarkStart w:id="79" w:name="_Toc22168"/>
      <w:bookmarkStart w:id="80" w:name="_Toc32022"/>
      <w:bookmarkStart w:id="81" w:name="_Toc20199_WPSOffice_Level1"/>
      <w:r>
        <w:rPr>
          <w:rFonts w:hint="eastAsia" w:ascii="宋体" w:hAnsi="Times New Roman" w:eastAsia="宋体" w:cs="宋体"/>
          <w:b/>
          <w:bCs/>
          <w:kern w:val="0"/>
          <w:sz w:val="28"/>
          <w:szCs w:val="28"/>
          <w:lang w:val="zh-CN"/>
        </w:rPr>
        <w:t>三、质量保障措施</w:t>
      </w:r>
      <w:bookmarkEnd w:id="77"/>
      <w:bookmarkEnd w:id="78"/>
      <w:bookmarkEnd w:id="79"/>
      <w:bookmarkEnd w:id="80"/>
      <w:bookmarkEnd w:id="81"/>
    </w:p>
    <w:p>
      <w:pPr>
        <w:autoSpaceDE w:val="0"/>
        <w:autoSpaceDN w:val="0"/>
        <w:adjustRightInd w:val="0"/>
        <w:spacing w:line="480" w:lineRule="exact"/>
        <w:ind w:firstLine="420"/>
        <w:outlineLvl w:val="1"/>
        <w:rPr>
          <w:rFonts w:ascii="??_GB2312" w:hAnsi="??_GB2312" w:eastAsia="宋体" w:cs="??_GB2312"/>
          <w:b/>
          <w:bCs/>
          <w:kern w:val="0"/>
          <w:sz w:val="28"/>
          <w:szCs w:val="28"/>
        </w:rPr>
      </w:pPr>
      <w:bookmarkStart w:id="82" w:name="_Toc19587_WPSOffice_Level2"/>
      <w:bookmarkStart w:id="83" w:name="_Toc23884"/>
      <w:bookmarkStart w:id="84" w:name="_Toc17415_WPSOffice_Level2"/>
      <w:r>
        <w:rPr>
          <w:rFonts w:hint="eastAsia" w:ascii="宋体" w:hAnsi="??_GB2312" w:eastAsia="宋体" w:cs="宋体"/>
          <w:b/>
          <w:bCs/>
          <w:kern w:val="0"/>
          <w:sz w:val="28"/>
          <w:szCs w:val="28"/>
        </w:rPr>
        <w:t>3</w:t>
      </w:r>
      <w:r>
        <w:rPr>
          <w:rFonts w:hint="eastAsia" w:ascii="宋体" w:hAnsi="??_GB2312" w:eastAsia="宋体" w:cs="宋体"/>
          <w:b/>
          <w:bCs/>
          <w:kern w:val="0"/>
          <w:sz w:val="28"/>
          <w:szCs w:val="28"/>
          <w:lang w:val="zh-CN"/>
        </w:rPr>
        <w:t>.</w:t>
      </w:r>
      <w:r>
        <w:rPr>
          <w:rFonts w:hint="eastAsia" w:ascii="宋体" w:hAnsi="??_GB2312" w:eastAsia="宋体" w:cs="宋体"/>
          <w:b/>
          <w:bCs/>
          <w:kern w:val="0"/>
          <w:sz w:val="28"/>
          <w:szCs w:val="28"/>
        </w:rPr>
        <w:t>1</w:t>
      </w:r>
      <w:r>
        <w:rPr>
          <w:rFonts w:hint="eastAsia" w:ascii="宋体" w:hAnsi="??_GB2312" w:eastAsia="宋体" w:cs="宋体"/>
          <w:b/>
          <w:bCs/>
          <w:kern w:val="0"/>
          <w:sz w:val="28"/>
          <w:szCs w:val="28"/>
          <w:lang w:val="zh-CN"/>
        </w:rPr>
        <w:t>专业动态调整</w:t>
      </w:r>
      <w:bookmarkEnd w:id="82"/>
      <w:bookmarkEnd w:id="83"/>
      <w:bookmarkEnd w:id="84"/>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学校原来以机械、机电、电子等专业为主，按照昆山市教育局</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合理布局、错位发展、突出重点、服务产业</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的原则，根据花桥商务城产业发展特点，学校专业方</w:t>
      </w:r>
      <w:r>
        <w:rPr>
          <w:rFonts w:hint="eastAsia" w:ascii="宋体" w:hAnsi="??_GB2312" w:eastAsia="宋体" w:cs="宋体"/>
          <w:color w:val="auto"/>
          <w:kern w:val="0"/>
          <w:sz w:val="28"/>
          <w:szCs w:val="28"/>
          <w:lang w:val="zh-CN"/>
        </w:rPr>
        <w:t>向已实现由传统制造业</w:t>
      </w:r>
      <w:r>
        <w:rPr>
          <w:rFonts w:hint="eastAsia" w:ascii="宋体" w:hAnsi="??_GB2312" w:eastAsia="宋体" w:cs="宋体"/>
          <w:kern w:val="0"/>
          <w:sz w:val="28"/>
          <w:szCs w:val="28"/>
          <w:lang w:val="zh-CN"/>
        </w:rPr>
        <w:t>向现代服务业转化。</w:t>
      </w:r>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目前学校已形成涵盖信息技术、财经商贸、文化艺术、旅游服务</w:t>
      </w:r>
      <w:r>
        <w:rPr>
          <w:rFonts w:ascii="??_GB2312" w:hAnsi="??_GB2312" w:eastAsia="宋体" w:cs="??_GB2312"/>
          <w:kern w:val="0"/>
          <w:sz w:val="28"/>
          <w:szCs w:val="28"/>
        </w:rPr>
        <w:t>4</w:t>
      </w:r>
      <w:r>
        <w:rPr>
          <w:rFonts w:hint="eastAsia" w:ascii="宋体" w:hAnsi="??_GB2312" w:eastAsia="宋体" w:cs="宋体"/>
          <w:kern w:val="0"/>
          <w:sz w:val="28"/>
          <w:szCs w:val="28"/>
          <w:lang w:val="zh-CN"/>
        </w:rPr>
        <w:t>大类、</w:t>
      </w:r>
      <w:r>
        <w:rPr>
          <w:rFonts w:ascii="??_GB2312" w:hAnsi="??_GB2312" w:eastAsia="宋体" w:cs="??_GB2312"/>
          <w:kern w:val="0"/>
          <w:sz w:val="28"/>
          <w:szCs w:val="28"/>
        </w:rPr>
        <w:t>10</w:t>
      </w:r>
      <w:r>
        <w:rPr>
          <w:rFonts w:hint="eastAsia" w:ascii="宋体" w:hAnsi="??_GB2312" w:eastAsia="宋体" w:cs="宋体"/>
          <w:kern w:val="0"/>
          <w:sz w:val="28"/>
          <w:szCs w:val="28"/>
          <w:lang w:val="zh-CN"/>
        </w:rPr>
        <w:t>个专业的格局，着力打造物流服务与管理、金融事务、计算机技术应用、旅游服务与管理等</w:t>
      </w:r>
      <w:r>
        <w:rPr>
          <w:rFonts w:ascii="??_GB2312" w:hAnsi="??_GB2312" w:eastAsia="宋体" w:cs="??_GB2312"/>
          <w:kern w:val="0"/>
          <w:sz w:val="28"/>
          <w:szCs w:val="28"/>
        </w:rPr>
        <w:t>4</w:t>
      </w:r>
      <w:r>
        <w:rPr>
          <w:rFonts w:hint="eastAsia" w:ascii="宋体" w:hAnsi="??_GB2312" w:eastAsia="宋体" w:cs="宋体"/>
          <w:kern w:val="0"/>
          <w:sz w:val="28"/>
          <w:szCs w:val="28"/>
          <w:lang w:val="zh-CN"/>
        </w:rPr>
        <w:t>大主干专业。其中，物流服务与管理、旅游服务与管理为江苏省品牌专业，金融事务专业为江苏省特色专业，电子技术应用专业为苏州市示范专业，物流服务与管理专业群为江苏省现代化专业群。《仓储作业实务》、《呼叫服务员》、《单证实务》、《会计基础实务》等多门课程被评为苏州市级精品课程。</w:t>
      </w:r>
    </w:p>
    <w:p>
      <w:pPr>
        <w:autoSpaceDE w:val="0"/>
        <w:autoSpaceDN w:val="0"/>
        <w:adjustRightInd w:val="0"/>
        <w:spacing w:line="480" w:lineRule="exact"/>
        <w:ind w:firstLine="570"/>
        <w:outlineLvl w:val="1"/>
        <w:rPr>
          <w:rFonts w:ascii="宋体" w:hAnsi="??_GB2312" w:eastAsia="宋体" w:cs="宋体"/>
          <w:b/>
          <w:bCs/>
          <w:kern w:val="0"/>
          <w:sz w:val="28"/>
          <w:szCs w:val="28"/>
          <w:lang w:val="zh-CN"/>
        </w:rPr>
      </w:pPr>
      <w:bookmarkStart w:id="85" w:name="_Toc11306"/>
      <w:bookmarkStart w:id="86" w:name="_Toc2004_WPSOffice_Level2"/>
      <w:bookmarkStart w:id="87" w:name="_Toc15279_WPSOffice_Level2"/>
      <w:r>
        <w:rPr>
          <w:rFonts w:hint="eastAsia" w:ascii="宋体" w:hAnsi="??_GB2312" w:eastAsia="宋体" w:cs="宋体"/>
          <w:b/>
          <w:bCs/>
          <w:kern w:val="0"/>
          <w:sz w:val="28"/>
          <w:szCs w:val="28"/>
        </w:rPr>
        <w:t>3</w:t>
      </w:r>
      <w:r>
        <w:rPr>
          <w:rFonts w:hint="eastAsia" w:ascii="宋体" w:hAnsi="??_GB2312" w:eastAsia="宋体" w:cs="宋体"/>
          <w:b/>
          <w:bCs/>
          <w:kern w:val="0"/>
          <w:sz w:val="28"/>
          <w:szCs w:val="28"/>
          <w:lang w:val="zh-CN"/>
        </w:rPr>
        <w:t>.</w:t>
      </w:r>
      <w:r>
        <w:rPr>
          <w:rFonts w:hint="eastAsia" w:ascii="宋体" w:hAnsi="??_GB2312" w:eastAsia="宋体" w:cs="宋体"/>
          <w:b/>
          <w:bCs/>
          <w:kern w:val="0"/>
          <w:sz w:val="28"/>
          <w:szCs w:val="28"/>
        </w:rPr>
        <w:t xml:space="preserve">2 </w:t>
      </w:r>
      <w:r>
        <w:rPr>
          <w:rFonts w:hint="eastAsia" w:ascii="宋体" w:hAnsi="??_GB2312" w:eastAsia="宋体" w:cs="宋体"/>
          <w:b/>
          <w:bCs/>
          <w:kern w:val="0"/>
          <w:sz w:val="28"/>
          <w:szCs w:val="28"/>
          <w:lang w:val="zh-CN"/>
        </w:rPr>
        <w:t>教育教学改革</w:t>
      </w:r>
      <w:bookmarkEnd w:id="85"/>
      <w:bookmarkEnd w:id="86"/>
      <w:bookmarkEnd w:id="87"/>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我校现代职业教育体系试点实施情况如下：</w:t>
      </w:r>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kern w:val="0"/>
          <w:sz w:val="28"/>
          <w:szCs w:val="28"/>
        </w:rPr>
        <w:t>1</w:t>
      </w:r>
      <w:r>
        <w:rPr>
          <w:rFonts w:ascii="宋体" w:hAnsi="??_GB2312" w:eastAsia="宋体" w:cs="宋体"/>
          <w:kern w:val="0"/>
          <w:sz w:val="28"/>
          <w:szCs w:val="28"/>
        </w:rPr>
        <w:t>.</w:t>
      </w:r>
      <w:r>
        <w:rPr>
          <w:rFonts w:hint="eastAsia" w:ascii="宋体" w:hAnsi="??_GB2312" w:eastAsia="宋体" w:cs="宋体"/>
          <w:kern w:val="0"/>
          <w:sz w:val="28"/>
          <w:szCs w:val="28"/>
        </w:rPr>
        <w:t>中高等职业教育“3+</w:t>
      </w:r>
      <w:r>
        <w:rPr>
          <w:rFonts w:ascii="宋体" w:hAnsi="??_GB2312" w:eastAsia="宋体" w:cs="宋体"/>
          <w:kern w:val="0"/>
          <w:sz w:val="28"/>
          <w:szCs w:val="28"/>
        </w:rPr>
        <w:t>3</w:t>
      </w:r>
      <w:r>
        <w:rPr>
          <w:rFonts w:hint="eastAsia" w:ascii="宋体" w:hAnsi="??_GB2312" w:eastAsia="宋体" w:cs="宋体"/>
          <w:kern w:val="0"/>
          <w:sz w:val="28"/>
          <w:szCs w:val="28"/>
        </w:rPr>
        <w:t>”分段培养。</w:t>
      </w:r>
      <w:r>
        <w:rPr>
          <w:rFonts w:hint="eastAsia" w:ascii="宋体" w:hAnsi="??_GB2312" w:eastAsia="宋体" w:cs="宋体"/>
          <w:b/>
          <w:kern w:val="0"/>
          <w:sz w:val="28"/>
          <w:szCs w:val="28"/>
        </w:rPr>
        <w:t>合作院校</w:t>
      </w:r>
      <w:r>
        <w:rPr>
          <w:rFonts w:hint="eastAsia" w:ascii="宋体" w:hAnsi="??_GB2312" w:eastAsia="宋体" w:cs="宋体"/>
          <w:kern w:val="0"/>
          <w:sz w:val="28"/>
          <w:szCs w:val="28"/>
        </w:rPr>
        <w:t>5所：苏州健雄职业技术</w:t>
      </w:r>
      <w:r>
        <w:rPr>
          <w:rFonts w:hint="eastAsia" w:ascii="宋体" w:hAnsi="??_GB2312" w:eastAsia="宋体" w:cs="宋体"/>
          <w:kern w:val="0"/>
          <w:sz w:val="28"/>
          <w:szCs w:val="28"/>
          <w:lang w:val="zh-CN"/>
        </w:rPr>
        <w:t>学院、苏州工业园区职业技术学院、苏州外包学院、南通商贸学院、苏州农业职业技术学院（今年新增）；涉及专业有6个，包括美术、市场营销、物流服务与管理、金融事务、计算机应用和计算机网络专业；学生规模：8</w:t>
      </w:r>
      <w:r>
        <w:rPr>
          <w:rFonts w:ascii="宋体" w:hAnsi="??_GB2312" w:eastAsia="宋体" w:cs="宋体"/>
          <w:kern w:val="0"/>
          <w:sz w:val="28"/>
          <w:szCs w:val="28"/>
          <w:lang w:val="zh-CN"/>
        </w:rPr>
        <w:t>54</w:t>
      </w:r>
      <w:r>
        <w:rPr>
          <w:rFonts w:hint="eastAsia" w:ascii="宋体" w:hAnsi="??_GB2312" w:eastAsia="宋体" w:cs="宋体"/>
          <w:kern w:val="0"/>
          <w:sz w:val="28"/>
          <w:szCs w:val="28"/>
          <w:lang w:val="zh-CN"/>
        </w:rPr>
        <w:t>人，占全校学生人数4</w:t>
      </w:r>
      <w:r>
        <w:rPr>
          <w:rFonts w:ascii="宋体" w:hAnsi="??_GB2312" w:eastAsia="宋体" w:cs="宋体"/>
          <w:kern w:val="0"/>
          <w:sz w:val="28"/>
          <w:szCs w:val="28"/>
          <w:lang w:val="zh-CN"/>
        </w:rPr>
        <w:t>6</w:t>
      </w:r>
      <w:r>
        <w:rPr>
          <w:rFonts w:hint="eastAsia" w:ascii="宋体" w:hAnsi="??_GB2312" w:eastAsia="宋体" w:cs="宋体"/>
          <w:kern w:val="0"/>
          <w:sz w:val="28"/>
          <w:szCs w:val="28"/>
          <w:lang w:val="zh-CN"/>
        </w:rPr>
        <w:t>%。近3年，我校中高“3+3”招生规模维持在6个专业，10个班级，与合作高校紧密联系，共同制定人才培养方案，转段考试规范，学生顺利升学，合作高校给我校毕业生满意度高。</w:t>
      </w:r>
    </w:p>
    <w:p>
      <w:pPr>
        <w:autoSpaceDE w:val="0"/>
        <w:autoSpaceDN w:val="0"/>
        <w:adjustRightInd w:val="0"/>
        <w:spacing w:line="480" w:lineRule="exact"/>
        <w:ind w:firstLine="570"/>
        <w:jc w:val="left"/>
        <w:rPr>
          <w:rFonts w:ascii="宋体" w:hAnsi="??_GB2312" w:eastAsia="宋体" w:cs="宋体"/>
          <w:kern w:val="0"/>
          <w:sz w:val="28"/>
          <w:szCs w:val="28"/>
          <w:lang w:val="zh-CN"/>
        </w:rPr>
      </w:pPr>
      <w:r>
        <w:rPr>
          <w:rFonts w:hint="eastAsia" w:ascii="宋体" w:hAnsi="??_GB2312" w:eastAsia="宋体" w:cs="宋体"/>
          <w:kern w:val="0"/>
          <w:sz w:val="28"/>
          <w:szCs w:val="28"/>
          <w:lang w:val="zh-CN"/>
        </w:rPr>
        <w:t>2.对口单招培养。我校对口单招专业有4个：美术绘画、高星级饭店运营与管理、计算机应用和电子技术应用专业，其中计算机应用和电子技术应用专业隔年停招，美术绘画和高星级运营与管理专业隔年招收2个班。学生规模：431人，占全校学生人数23%。在2020年对口单招高考中，我校本科上线总人数达89人，本科上线率达70.08%，本科上线总人数超2019年12人，本科上线率超2019年2.54个百分点，居于全省本科上线率的第一方阵。其中电子专业本科上线率68.97%（省本科上线率26.14%），20人本科上线；计算机专业本科上线率50.00%（省本科上线率11.15%），16人本科上线</w:t>
      </w:r>
      <w:r>
        <w:rPr>
          <w:rFonts w:hint="eastAsia" w:ascii="宋体" w:hAnsi="??_GB2312" w:eastAsia="宋体" w:cs="宋体"/>
          <w:color w:val="auto"/>
          <w:kern w:val="0"/>
          <w:sz w:val="28"/>
          <w:szCs w:val="28"/>
          <w:lang w:val="zh-CN"/>
        </w:rPr>
        <w:t>；高星级饭店专业本</w:t>
      </w:r>
      <w:r>
        <w:rPr>
          <w:rFonts w:hint="eastAsia" w:ascii="宋体" w:hAnsi="??_GB2312" w:eastAsia="宋体" w:cs="宋体"/>
          <w:kern w:val="0"/>
          <w:sz w:val="28"/>
          <w:szCs w:val="28"/>
          <w:lang w:val="zh-CN"/>
        </w:rPr>
        <w:t>科上线率93.33%（省本科上线率17.88%），28人本科上线；</w:t>
      </w:r>
      <w:r>
        <w:rPr>
          <w:rFonts w:ascii="宋体" w:hAnsi="??_GB2312" w:eastAsia="宋体" w:cs="宋体"/>
          <w:kern w:val="0"/>
          <w:sz w:val="28"/>
          <w:szCs w:val="28"/>
          <w:lang w:val="zh-CN"/>
        </w:rPr>
        <w:t>艺术专业</w:t>
      </w:r>
      <w:r>
        <w:rPr>
          <w:rFonts w:hint="eastAsia" w:ascii="宋体" w:hAnsi="??_GB2312" w:eastAsia="宋体" w:cs="宋体"/>
          <w:kern w:val="0"/>
          <w:sz w:val="28"/>
          <w:szCs w:val="28"/>
          <w:lang w:val="zh-CN"/>
        </w:rPr>
        <w:t>本科上线率69.44</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（省本科上线率23.60%），25人本科上线。</w:t>
      </w:r>
    </w:p>
    <w:p>
      <w:pPr>
        <w:spacing w:line="480" w:lineRule="exact"/>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学校聚焦研究实效，加强了对课题的过程管理。对在研课题多次召开专门会议，从申报立项、开题论证、阶段计划和汇报、课题成果展示等，对教师进行了指导，并对课题进行了网络化统一管理，专人负责定期检查，确保课题呈现动态化研究过程。</w:t>
      </w:r>
    </w:p>
    <w:p>
      <w:pPr>
        <w:spacing w:line="480" w:lineRule="exact"/>
        <w:ind w:firstLine="560" w:firstLineChars="200"/>
        <w:rPr>
          <w:sz w:val="28"/>
          <w:szCs w:val="28"/>
        </w:rPr>
      </w:pPr>
      <w:r>
        <w:rPr>
          <w:rFonts w:hint="eastAsia"/>
          <w:sz w:val="28"/>
          <w:szCs w:val="28"/>
        </w:rPr>
        <w:t>本年度在研课题共</w:t>
      </w:r>
      <w:r>
        <w:rPr>
          <w:rFonts w:hint="eastAsia" w:ascii="Times New Roman" w:hAnsi="Times New Roman" w:cs="Times New Roman"/>
          <w:sz w:val="28"/>
          <w:szCs w:val="28"/>
        </w:rPr>
        <w:t>17</w:t>
      </w:r>
      <w:r>
        <w:rPr>
          <w:rFonts w:hint="eastAsia"/>
          <w:sz w:val="28"/>
          <w:szCs w:val="28"/>
        </w:rPr>
        <w:t>项，其中</w:t>
      </w:r>
      <w:r>
        <w:rPr>
          <w:rFonts w:ascii="Times New Roman" w:hAnsi="Times New Roman" w:cs="Times New Roman"/>
          <w:sz w:val="28"/>
          <w:szCs w:val="28"/>
        </w:rPr>
        <w:t>3项省教改课题完成</w:t>
      </w:r>
      <w:r>
        <w:rPr>
          <w:rFonts w:hint="eastAsia" w:ascii="Times New Roman" w:hAnsi="Times New Roman" w:cs="Times New Roman"/>
          <w:sz w:val="28"/>
          <w:szCs w:val="28"/>
        </w:rPr>
        <w:t>了</w:t>
      </w:r>
      <w:r>
        <w:rPr>
          <w:rFonts w:ascii="Times New Roman" w:hAnsi="Times New Roman" w:cs="Times New Roman"/>
          <w:sz w:val="28"/>
          <w:szCs w:val="28"/>
        </w:rPr>
        <w:t>中期检查，1项省</w:t>
      </w:r>
      <w:r>
        <w:rPr>
          <w:rFonts w:hint="eastAsia"/>
          <w:sz w:val="28"/>
          <w:szCs w:val="28"/>
        </w:rPr>
        <w:t>职教学会课题结题；</w:t>
      </w:r>
      <w:r>
        <w:rPr>
          <w:rFonts w:ascii="Times New Roman" w:hAnsi="Times New Roman" w:cs="Times New Roman"/>
          <w:sz w:val="28"/>
          <w:szCs w:val="28"/>
        </w:rPr>
        <w:t>2项</w:t>
      </w:r>
      <w:r>
        <w:rPr>
          <w:rFonts w:hint="eastAsia"/>
          <w:sz w:val="28"/>
          <w:szCs w:val="28"/>
        </w:rPr>
        <w:t>苏州市级课题进入中期研究；</w:t>
      </w:r>
      <w:r>
        <w:rPr>
          <w:rFonts w:hint="eastAsia" w:ascii="Times New Roman" w:hAnsi="Times New Roman" w:cs="Times New Roman"/>
          <w:sz w:val="28"/>
          <w:szCs w:val="28"/>
        </w:rPr>
        <w:t>4项昆山市级课题结题，5项昆山市级课题开题论证，2项昆山市社科联课题结题。2020年10月，在江苏省级课题中期研讨展示活动中，王燕红老师开设了昆山市级公开课《运输方式选择》；2020年12月，在苏州市职业学校教科研协作会上，孙玉丽老师开设苏州市级课题研讨课《二/十进制转换》，黄磊、张慧玲主持的省教改课题做了交流发言。</w:t>
      </w:r>
    </w:p>
    <w:p>
      <w:pPr>
        <w:autoSpaceDE w:val="0"/>
        <w:autoSpaceDN w:val="0"/>
        <w:adjustRightInd w:val="0"/>
        <w:spacing w:line="480" w:lineRule="exact"/>
        <w:ind w:firstLine="570"/>
        <w:outlineLvl w:val="1"/>
        <w:rPr>
          <w:rFonts w:ascii="??_GB2312" w:hAnsi="??_GB2312" w:eastAsia="宋体" w:cs="??_GB2312"/>
          <w:b/>
          <w:bCs/>
          <w:kern w:val="0"/>
          <w:sz w:val="28"/>
          <w:szCs w:val="28"/>
        </w:rPr>
      </w:pPr>
      <w:bookmarkStart w:id="88" w:name="_Toc32557_WPSOffice_Level2"/>
      <w:bookmarkStart w:id="89" w:name="_Toc27282_WPSOffice_Level2"/>
      <w:bookmarkStart w:id="90" w:name="_Toc4221"/>
      <w:r>
        <w:rPr>
          <w:rFonts w:hint="eastAsia" w:ascii="宋体" w:hAnsi="??_GB2312" w:eastAsia="宋体" w:cs="宋体"/>
          <w:b/>
          <w:bCs/>
          <w:kern w:val="0"/>
          <w:sz w:val="28"/>
          <w:szCs w:val="28"/>
        </w:rPr>
        <w:t>3</w:t>
      </w:r>
      <w:r>
        <w:rPr>
          <w:rFonts w:hint="eastAsia" w:ascii="宋体" w:hAnsi="??_GB2312" w:eastAsia="宋体" w:cs="宋体"/>
          <w:b/>
          <w:bCs/>
          <w:kern w:val="0"/>
          <w:sz w:val="28"/>
          <w:szCs w:val="28"/>
          <w:lang w:val="zh-CN"/>
        </w:rPr>
        <w:t>.</w:t>
      </w:r>
      <w:r>
        <w:rPr>
          <w:rFonts w:hint="eastAsia" w:ascii="宋体" w:hAnsi="??_GB2312" w:eastAsia="宋体" w:cs="宋体"/>
          <w:b/>
          <w:bCs/>
          <w:kern w:val="0"/>
          <w:sz w:val="28"/>
          <w:szCs w:val="28"/>
        </w:rPr>
        <w:t>3</w:t>
      </w:r>
      <w:r>
        <w:rPr>
          <w:rFonts w:hint="eastAsia" w:ascii="宋体" w:hAnsi="??_GB2312" w:eastAsia="宋体" w:cs="宋体"/>
          <w:b/>
          <w:bCs/>
          <w:kern w:val="0"/>
          <w:sz w:val="28"/>
          <w:szCs w:val="28"/>
          <w:lang w:val="zh-CN"/>
        </w:rPr>
        <w:t>教师培养培训</w:t>
      </w:r>
      <w:bookmarkEnd w:id="88"/>
      <w:bookmarkEnd w:id="89"/>
      <w:bookmarkEnd w:id="90"/>
    </w:p>
    <w:p>
      <w:pPr>
        <w:spacing w:line="480" w:lineRule="exact"/>
        <w:ind w:firstLine="562" w:firstLineChars="200"/>
        <w:outlineLvl w:val="2"/>
        <w:rPr>
          <w:b/>
          <w:bCs/>
          <w:sz w:val="28"/>
          <w:szCs w:val="28"/>
        </w:rPr>
      </w:pPr>
      <w:bookmarkStart w:id="91" w:name="_Toc21104"/>
      <w:r>
        <w:rPr>
          <w:rFonts w:hint="eastAsia"/>
          <w:b/>
          <w:bCs/>
          <w:sz w:val="28"/>
          <w:szCs w:val="28"/>
        </w:rPr>
        <w:t>（一）县域培训，积极完成</w:t>
      </w:r>
      <w:bookmarkEnd w:id="91"/>
    </w:p>
    <w:p>
      <w:pPr>
        <w:spacing w:line="480" w:lineRule="exact"/>
        <w:ind w:firstLine="560" w:firstLineChars="200"/>
        <w:rPr>
          <w:rFonts w:ascii="Times New Roman" w:hAnsi="Times New Roman" w:cs="Times New Roman"/>
          <w:sz w:val="28"/>
          <w:szCs w:val="28"/>
        </w:rPr>
      </w:pPr>
      <w:r>
        <w:rPr>
          <w:rFonts w:ascii="Times New Roman" w:hAnsi="Times New Roman" w:cs="Times New Roman"/>
          <w:sz w:val="28"/>
          <w:szCs w:val="28"/>
        </w:rPr>
        <w:t>2020年全年，我校陆虎城等3名教师参加了国家级培训，陆奕等11名教师参加了江苏省级培训，刘德欣等28名教师参加了苏州市级培训，柏晨莉等18名教师参加了昆山市级培训。</w:t>
      </w:r>
      <w:r>
        <w:rPr>
          <w:rFonts w:ascii="Times New Roman" w:hAnsi="Times New Roman" w:cs="Times New Roman"/>
          <w:color w:val="auto"/>
          <w:sz w:val="28"/>
          <w:szCs w:val="28"/>
        </w:rPr>
        <w:t>要求参加学习的教师写出</w:t>
      </w:r>
      <w:r>
        <w:rPr>
          <w:rFonts w:ascii="Times New Roman" w:hAnsi="Times New Roman" w:cs="Times New Roman"/>
          <w:sz w:val="28"/>
          <w:szCs w:val="28"/>
        </w:rPr>
        <w:t>学习体会和培训笔记，鼓励教师积极进行教学反思，积累教学经验。65名教师参加了每年昆山市的春季和秋季信息技术能力提升培训班，通过学习使大多数教师熟练地掌握了新时期的信息技术平台的使用，提高了教师的信息化教学水平。</w:t>
      </w:r>
      <w:r>
        <w:rPr>
          <w:rFonts w:hint="eastAsia" w:ascii="Times New Roman" w:hAnsi="Times New Roman" w:cs="Times New Roman"/>
          <w:sz w:val="28"/>
          <w:szCs w:val="28"/>
        </w:rPr>
        <w:t>同时，2020年春季和秋季，分别组织全校教师通过网络平台，共同学习了江苏省的新课标培训课程，让教师们能掌握新理念、实践新理念、优化教育过程，为全面课改打实基础。另外，为了适应新时期基础教育的要求，我校重点培养了一批心理健康教育辅导的老师，定期参加各级各类培训培训，有利于今后我校心理健康教育工作更好的开展。</w:t>
      </w:r>
    </w:p>
    <w:p>
      <w:pPr>
        <w:spacing w:line="48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本年度，我校教师参训面达100%。对教师的培训，定期检查督促，将教师的学习笔记、听课记录、课例或案例、课件、学习体会、经验总结、研究论文等文字材料和参加培训或研究活动的考勤情况作为校本培训检查、考核的重要依据。</w:t>
      </w:r>
    </w:p>
    <w:p>
      <w:pPr>
        <w:spacing w:line="480" w:lineRule="exact"/>
        <w:ind w:firstLine="562" w:firstLineChars="200"/>
        <w:outlineLvl w:val="2"/>
        <w:rPr>
          <w:b/>
          <w:bCs/>
          <w:sz w:val="28"/>
          <w:szCs w:val="28"/>
        </w:rPr>
      </w:pPr>
      <w:bookmarkStart w:id="92" w:name="_Toc23241"/>
      <w:r>
        <w:rPr>
          <w:rFonts w:hint="eastAsia"/>
          <w:b/>
          <w:bCs/>
          <w:sz w:val="28"/>
          <w:szCs w:val="28"/>
        </w:rPr>
        <w:t>（二）骨干名师，全力打造</w:t>
      </w:r>
      <w:bookmarkEnd w:id="92"/>
    </w:p>
    <w:p>
      <w:pPr>
        <w:spacing w:line="480" w:lineRule="exact"/>
        <w:ind w:firstLine="560" w:firstLineChars="200"/>
        <w:rPr>
          <w:sz w:val="28"/>
          <w:szCs w:val="28"/>
        </w:rPr>
      </w:pPr>
      <w:r>
        <w:rPr>
          <w:rFonts w:hint="eastAsia"/>
          <w:sz w:val="28"/>
          <w:szCs w:val="28"/>
        </w:rPr>
        <w:t>本年度，</w:t>
      </w:r>
      <w:r>
        <w:rPr>
          <w:rFonts w:ascii="Times New Roman" w:hAnsi="Times New Roman" w:cs="Times New Roman"/>
          <w:sz w:val="28"/>
          <w:szCs w:val="28"/>
        </w:rPr>
        <w:t>1个江苏省名师工作室、</w:t>
      </w:r>
      <w:r>
        <w:rPr>
          <w:rFonts w:hint="eastAsia" w:ascii="Times New Roman" w:hAnsi="Times New Roman" w:cs="Times New Roman"/>
          <w:sz w:val="28"/>
          <w:szCs w:val="28"/>
        </w:rPr>
        <w:t>2</w:t>
      </w:r>
      <w:r>
        <w:rPr>
          <w:rFonts w:ascii="Times New Roman" w:hAnsi="Times New Roman" w:cs="Times New Roman"/>
          <w:sz w:val="28"/>
          <w:szCs w:val="28"/>
        </w:rPr>
        <w:t>个苏州市名师工作室、4</w:t>
      </w:r>
      <w:r>
        <w:rPr>
          <w:rFonts w:hint="eastAsia"/>
          <w:sz w:val="28"/>
          <w:szCs w:val="28"/>
        </w:rPr>
        <w:t>个校级名师工作室的工作有序推进。“孔子学堂，经典诵读”工作室创建成为了昆山市统战部“鹿城同心”名师工作室。</w:t>
      </w:r>
    </w:p>
    <w:p>
      <w:pPr>
        <w:spacing w:line="480" w:lineRule="exact"/>
        <w:ind w:firstLine="560" w:firstLineChars="200"/>
        <w:rPr>
          <w:sz w:val="28"/>
          <w:szCs w:val="28"/>
        </w:rPr>
      </w:pPr>
      <w:r>
        <w:rPr>
          <w:rFonts w:hint="eastAsia"/>
          <w:sz w:val="28"/>
          <w:szCs w:val="28"/>
        </w:rPr>
        <w:t>为进一步推动我校的教学改革，贯彻落实职教各科教学新课标，促进全体教师教学观念、教学方式的转变，我校邀请了吴江中专潘莉萍副校长开设在线讲座《有所为，有所必为——基于“标准”谈备赛》，以此提升教师的业务能力和对新课标的解读能力。同时，定期为教师们下发科研杂志，提升教师的科研能力。</w:t>
      </w:r>
    </w:p>
    <w:p>
      <w:pPr>
        <w:spacing w:line="480" w:lineRule="exact"/>
        <w:ind w:firstLine="560" w:firstLineChars="200"/>
        <w:rPr>
          <w:sz w:val="28"/>
          <w:szCs w:val="28"/>
        </w:rPr>
      </w:pPr>
      <w:r>
        <w:rPr>
          <w:rFonts w:hint="eastAsia"/>
          <w:sz w:val="28"/>
          <w:szCs w:val="28"/>
        </w:rPr>
        <w:t>本年度，朱腊梅荣获“昆山市教育科研成果奖”，并受到教育局奖励；姚焕、唐蒙蒙两位老师荣获“昆山市学科带头人”称号，王小娟老师荣获“昆山市学术带头人”称号；张慧玲老师荣获苏州市教育科研先进个人称号；王慧老师荣获苏州市教育学会“十三•五”教育科研先进个人称号；金轶超老师荣获“昆山市全民阅读先进个人”称号；“孔子学堂”</w:t>
      </w:r>
      <w:r>
        <w:rPr>
          <w:rFonts w:ascii="Times New Roman" w:hAnsi="Times New Roman" w:cs="Times New Roman"/>
          <w:sz w:val="28"/>
          <w:szCs w:val="28"/>
        </w:rPr>
        <w:t>6</w:t>
      </w:r>
      <w:r>
        <w:rPr>
          <w:rFonts w:hint="eastAsia"/>
          <w:sz w:val="28"/>
          <w:szCs w:val="28"/>
        </w:rPr>
        <w:t>位教师编写出版了教材《“孔子学堂”名言金句欣赏》。</w:t>
      </w:r>
    </w:p>
    <w:p>
      <w:pPr>
        <w:spacing w:line="480" w:lineRule="exact"/>
        <w:ind w:firstLine="562" w:firstLineChars="200"/>
        <w:outlineLvl w:val="2"/>
        <w:rPr>
          <w:b/>
          <w:bCs/>
          <w:sz w:val="28"/>
          <w:szCs w:val="28"/>
        </w:rPr>
      </w:pPr>
      <w:bookmarkStart w:id="93" w:name="_Toc18007"/>
      <w:r>
        <w:rPr>
          <w:rFonts w:hint="eastAsia"/>
          <w:b/>
          <w:bCs/>
          <w:sz w:val="28"/>
          <w:szCs w:val="28"/>
        </w:rPr>
        <w:t>（三）青年教师，积极培养</w:t>
      </w:r>
      <w:bookmarkEnd w:id="93"/>
    </w:p>
    <w:p>
      <w:pPr>
        <w:spacing w:line="480" w:lineRule="exact"/>
        <w:ind w:firstLine="560" w:firstLineChars="200"/>
        <w:rPr>
          <w:sz w:val="28"/>
          <w:szCs w:val="28"/>
        </w:rPr>
      </w:pPr>
      <w:r>
        <w:rPr>
          <w:rFonts w:ascii="Times New Roman" w:hAnsi="Times New Roman" w:cs="Times New Roman"/>
          <w:sz w:val="28"/>
          <w:szCs w:val="28"/>
        </w:rPr>
        <w:t>20</w:t>
      </w:r>
      <w:r>
        <w:rPr>
          <w:rFonts w:hint="eastAsia" w:ascii="Times New Roman" w:hAnsi="Times New Roman" w:cs="Times New Roman"/>
          <w:sz w:val="28"/>
          <w:szCs w:val="28"/>
        </w:rPr>
        <w:t>20</w:t>
      </w:r>
      <w:r>
        <w:rPr>
          <w:rFonts w:ascii="Times New Roman" w:hAnsi="Times New Roman" w:cs="Times New Roman"/>
          <w:sz w:val="28"/>
          <w:szCs w:val="28"/>
        </w:rPr>
        <w:t>年9</w:t>
      </w:r>
      <w:r>
        <w:rPr>
          <w:rFonts w:hint="eastAsia"/>
          <w:sz w:val="28"/>
          <w:szCs w:val="28"/>
        </w:rPr>
        <w:t>月，教师发展处联系教管处、学工处，组织了“青蓝工程”教师结对活动，共</w:t>
      </w:r>
      <w:r>
        <w:rPr>
          <w:rFonts w:hint="eastAsia" w:ascii="Times New Roman" w:hAnsi="Times New Roman" w:cs="Times New Roman"/>
          <w:sz w:val="28"/>
          <w:szCs w:val="28"/>
        </w:rPr>
        <w:t>8</w:t>
      </w:r>
      <w:r>
        <w:rPr>
          <w:rFonts w:hint="eastAsia"/>
          <w:sz w:val="28"/>
          <w:szCs w:val="28"/>
        </w:rPr>
        <w:t>位新教师与老教师结对互助。</w:t>
      </w:r>
      <w:r>
        <w:rPr>
          <w:rFonts w:ascii="Times New Roman" w:hAnsi="Times New Roman" w:cs="Times New Roman"/>
          <w:sz w:val="28"/>
          <w:szCs w:val="28"/>
        </w:rPr>
        <w:t>2020年11</w:t>
      </w:r>
      <w:r>
        <w:rPr>
          <w:rFonts w:hint="eastAsia"/>
          <w:sz w:val="28"/>
          <w:szCs w:val="28"/>
        </w:rPr>
        <w:t>月，组织新教师和单招班部分青年教师，赴花桥高中参加“取经求教”听课活动；</w:t>
      </w:r>
      <w:r>
        <w:rPr>
          <w:rFonts w:ascii="Times New Roman" w:hAnsi="Times New Roman" w:cs="Times New Roman"/>
          <w:sz w:val="28"/>
          <w:szCs w:val="28"/>
        </w:rPr>
        <w:t>2020年12</w:t>
      </w:r>
      <w:r>
        <w:rPr>
          <w:rFonts w:hint="eastAsia"/>
          <w:sz w:val="28"/>
          <w:szCs w:val="28"/>
        </w:rPr>
        <w:t>月，开展了“青苗扎根”新教师基本功大赛，包括教案评比、诵读评比、钢笔字评比、心得汇报，促进新教师磨练教学内功，加快了对新教师的培养步伐，为新教师搭建了一个锻炼自我、展示风采的平台。</w:t>
      </w:r>
    </w:p>
    <w:p>
      <w:pPr>
        <w:spacing w:line="480" w:lineRule="exact"/>
        <w:ind w:firstLine="560" w:firstLineChars="200"/>
        <w:rPr>
          <w:sz w:val="28"/>
          <w:szCs w:val="28"/>
        </w:rPr>
      </w:pPr>
      <w:r>
        <w:rPr>
          <w:rFonts w:hint="eastAsia"/>
          <w:sz w:val="28"/>
          <w:szCs w:val="28"/>
        </w:rPr>
        <w:t>本年度，教师的科研能力和专业水平均得到显著提高。组织教师参加了江苏省、苏州市等各级各类论文比赛，教师</w:t>
      </w:r>
      <w:r>
        <w:rPr>
          <w:rFonts w:hint="eastAsia" w:ascii="Times New Roman" w:hAnsi="Times New Roman" w:cs="Times New Roman"/>
          <w:sz w:val="28"/>
          <w:szCs w:val="28"/>
        </w:rPr>
        <w:t>论文</w:t>
      </w:r>
      <w:r>
        <w:rPr>
          <w:rFonts w:hint="eastAsia"/>
          <w:sz w:val="28"/>
          <w:szCs w:val="28"/>
        </w:rPr>
        <w:t>发表、获奖论文</w:t>
      </w:r>
      <w:r>
        <w:rPr>
          <w:rFonts w:hint="eastAsia" w:ascii="Times New Roman" w:hAnsi="Times New Roman" w:cs="Times New Roman"/>
          <w:sz w:val="28"/>
          <w:szCs w:val="28"/>
        </w:rPr>
        <w:t>75篇</w:t>
      </w:r>
      <w:r>
        <w:rPr>
          <w:rFonts w:hint="eastAsia"/>
          <w:sz w:val="28"/>
          <w:szCs w:val="28"/>
        </w:rPr>
        <w:t>。</w:t>
      </w:r>
    </w:p>
    <w:p>
      <w:pPr>
        <w:spacing w:line="480" w:lineRule="exact"/>
        <w:rPr>
          <w:rFonts w:ascii="宋体" w:hAnsi="??_GB2312" w:eastAsia="宋体" w:cs="宋体"/>
          <w:kern w:val="0"/>
          <w:sz w:val="28"/>
          <w:szCs w:val="28"/>
          <w:lang w:val="zh-CN"/>
        </w:rPr>
      </w:pPr>
      <w:r>
        <w:rPr>
          <w:rFonts w:hint="eastAsia" w:ascii="宋体" w:hAnsi="??_GB2312" w:eastAsia="宋体" w:cs="宋体"/>
          <w:kern w:val="0"/>
          <w:sz w:val="28"/>
          <w:szCs w:val="28"/>
          <w:lang w:val="zh-CN"/>
        </w:rPr>
        <w:t>专任教师培训见下：</w:t>
      </w:r>
    </w:p>
    <w:p>
      <w:pPr>
        <w:autoSpaceDE w:val="0"/>
        <w:autoSpaceDN w:val="0"/>
        <w:adjustRightInd w:val="0"/>
        <w:spacing w:line="480" w:lineRule="exact"/>
        <w:ind w:firstLine="570"/>
        <w:jc w:val="center"/>
        <w:rPr>
          <w:rFonts w:ascii="??_GB2312" w:hAnsi="??_GB2312" w:eastAsia="宋体" w:cs="??_GB2312"/>
          <w:kern w:val="0"/>
          <w:sz w:val="28"/>
          <w:szCs w:val="28"/>
        </w:rPr>
      </w:pPr>
      <w:bookmarkStart w:id="94" w:name="_Toc16269_WPSOffice_Level3"/>
      <w:bookmarkStart w:id="95" w:name="_Toc11082_WPSOffice_Level3"/>
      <w:r>
        <w:rPr>
          <w:rFonts w:hint="eastAsia" w:ascii="宋体" w:hAnsi="??_GB2312" w:eastAsia="宋体" w:cs="宋体"/>
          <w:kern w:val="0"/>
          <w:sz w:val="28"/>
          <w:szCs w:val="28"/>
          <w:lang w:val="zh-CN"/>
        </w:rPr>
        <w:t>表9：专任教师培训情况</w:t>
      </w:r>
      <w:bookmarkEnd w:id="94"/>
      <w:bookmarkEnd w:id="95"/>
    </w:p>
    <w:tbl>
      <w:tblPr>
        <w:tblStyle w:val="6"/>
        <w:tblW w:w="9140" w:type="dxa"/>
        <w:tblInd w:w="201" w:type="dxa"/>
        <w:tblLayout w:type="fixed"/>
        <w:tblCellMar>
          <w:top w:w="0" w:type="dxa"/>
          <w:left w:w="108" w:type="dxa"/>
          <w:bottom w:w="0" w:type="dxa"/>
          <w:right w:w="108" w:type="dxa"/>
        </w:tblCellMar>
      </w:tblPr>
      <w:tblGrid>
        <w:gridCol w:w="1355"/>
        <w:gridCol w:w="1356"/>
        <w:gridCol w:w="1985"/>
        <w:gridCol w:w="1355"/>
        <w:gridCol w:w="1356"/>
        <w:gridCol w:w="1733"/>
      </w:tblGrid>
      <w:tr>
        <w:tblPrEx>
          <w:tblCellMar>
            <w:top w:w="0" w:type="dxa"/>
            <w:left w:w="108" w:type="dxa"/>
            <w:bottom w:w="0" w:type="dxa"/>
            <w:right w:w="108" w:type="dxa"/>
          </w:tblCellMar>
        </w:tblPrEx>
        <w:trPr>
          <w:trHeight w:val="583" w:hRule="atLeast"/>
        </w:trPr>
        <w:tc>
          <w:tcPr>
            <w:tcW w:w="4696" w:type="dxa"/>
            <w:gridSpan w:val="3"/>
            <w:tcBorders>
              <w:top w:val="single" w:color="000000" w:sz="2" w:space="0"/>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当年数</w:t>
            </w:r>
          </w:p>
        </w:tc>
        <w:tc>
          <w:tcPr>
            <w:tcW w:w="4444" w:type="dxa"/>
            <w:gridSpan w:val="3"/>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上年数</w:t>
            </w:r>
          </w:p>
        </w:tc>
      </w:tr>
      <w:tr>
        <w:tblPrEx>
          <w:tblCellMar>
            <w:top w:w="0" w:type="dxa"/>
            <w:left w:w="108" w:type="dxa"/>
            <w:bottom w:w="0" w:type="dxa"/>
            <w:right w:w="108" w:type="dxa"/>
          </w:tblCellMar>
        </w:tblPrEx>
        <w:trPr>
          <w:trHeight w:val="583" w:hRule="atLeast"/>
        </w:trPr>
        <w:tc>
          <w:tcPr>
            <w:tcW w:w="1355"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市级</w:t>
            </w:r>
          </w:p>
        </w:tc>
        <w:tc>
          <w:tcPr>
            <w:tcW w:w="135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省级</w:t>
            </w:r>
          </w:p>
        </w:tc>
        <w:tc>
          <w:tcPr>
            <w:tcW w:w="198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国家级</w:t>
            </w:r>
          </w:p>
        </w:tc>
        <w:tc>
          <w:tcPr>
            <w:tcW w:w="135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市级</w:t>
            </w:r>
          </w:p>
        </w:tc>
        <w:tc>
          <w:tcPr>
            <w:tcW w:w="135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省级</w:t>
            </w:r>
          </w:p>
        </w:tc>
        <w:tc>
          <w:tcPr>
            <w:tcW w:w="173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kern w:val="0"/>
                <w:sz w:val="24"/>
                <w:szCs w:val="24"/>
                <w:lang w:val="zh-CN"/>
              </w:rPr>
              <w:t>国家级</w:t>
            </w:r>
          </w:p>
        </w:tc>
      </w:tr>
      <w:tr>
        <w:tblPrEx>
          <w:tblCellMar>
            <w:top w:w="0" w:type="dxa"/>
            <w:left w:w="108" w:type="dxa"/>
            <w:bottom w:w="0" w:type="dxa"/>
            <w:right w:w="108" w:type="dxa"/>
          </w:tblCellMar>
        </w:tblPrEx>
        <w:trPr>
          <w:trHeight w:val="594" w:hRule="atLeast"/>
        </w:trPr>
        <w:tc>
          <w:tcPr>
            <w:tcW w:w="1355"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_GB2312" w:eastAsia="宋体" w:cs="宋体"/>
                <w:kern w:val="0"/>
                <w:sz w:val="24"/>
                <w:szCs w:val="24"/>
              </w:rPr>
              <w:t>455</w:t>
            </w:r>
          </w:p>
        </w:tc>
        <w:tc>
          <w:tcPr>
            <w:tcW w:w="135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_GB2312" w:eastAsia="宋体" w:cs="宋体"/>
                <w:kern w:val="0"/>
                <w:sz w:val="24"/>
                <w:szCs w:val="24"/>
              </w:rPr>
              <w:t>367</w:t>
            </w:r>
          </w:p>
        </w:tc>
        <w:tc>
          <w:tcPr>
            <w:tcW w:w="198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_GB2312" w:eastAsia="宋体" w:cs="宋体"/>
                <w:kern w:val="0"/>
                <w:sz w:val="24"/>
                <w:szCs w:val="24"/>
              </w:rPr>
              <w:t>3</w:t>
            </w:r>
          </w:p>
        </w:tc>
        <w:tc>
          <w:tcPr>
            <w:tcW w:w="1355"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262</w:t>
            </w:r>
          </w:p>
        </w:tc>
        <w:tc>
          <w:tcPr>
            <w:tcW w:w="1356"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8</w:t>
            </w:r>
          </w:p>
        </w:tc>
        <w:tc>
          <w:tcPr>
            <w:tcW w:w="173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_GB2312" w:hAnsi="??_GB2312" w:eastAsia="宋体" w:cs="??_GB2312"/>
                <w:kern w:val="0"/>
                <w:sz w:val="24"/>
                <w:szCs w:val="24"/>
              </w:rPr>
              <w:t>3</w:t>
            </w:r>
          </w:p>
        </w:tc>
      </w:tr>
    </w:tbl>
    <w:p>
      <w:pPr>
        <w:autoSpaceDE w:val="0"/>
        <w:autoSpaceDN w:val="0"/>
        <w:adjustRightInd w:val="0"/>
        <w:spacing w:line="480" w:lineRule="exact"/>
        <w:ind w:firstLine="570"/>
        <w:rPr>
          <w:rFonts w:ascii="宋体" w:hAnsi="??_GB2312" w:eastAsia="宋体" w:cs="宋体"/>
          <w:kern w:val="0"/>
          <w:sz w:val="28"/>
          <w:szCs w:val="28"/>
          <w:lang w:val="zh-CN"/>
        </w:rPr>
      </w:pPr>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kern w:val="0"/>
          <w:sz w:val="28"/>
          <w:szCs w:val="28"/>
          <w:lang w:val="zh-CN"/>
        </w:rPr>
        <w:t>扎实开展听课、评课活动。定人员、定时间、定内容、定要求，40周岁以下的教师必须开设公开课。定期组织开展听课、评课活动，坚持定期深入班级进行教学质量分析。</w:t>
      </w:r>
    </w:p>
    <w:p>
      <w:pPr>
        <w:autoSpaceDE w:val="0"/>
        <w:autoSpaceDN w:val="0"/>
        <w:adjustRightInd w:val="0"/>
        <w:spacing w:line="480" w:lineRule="exact"/>
        <w:ind w:firstLine="573"/>
        <w:outlineLvl w:val="1"/>
        <w:rPr>
          <w:rFonts w:ascii="宋体" w:hAnsi="??_GB2312" w:eastAsia="宋体" w:cs="宋体"/>
          <w:b/>
          <w:bCs/>
          <w:kern w:val="0"/>
          <w:sz w:val="28"/>
          <w:szCs w:val="28"/>
          <w:lang w:val="zh-CN"/>
        </w:rPr>
      </w:pPr>
      <w:bookmarkStart w:id="96" w:name="_Toc26703"/>
      <w:r>
        <w:rPr>
          <w:rFonts w:hint="eastAsia" w:ascii="宋体" w:hAnsi="??_GB2312" w:eastAsia="宋体" w:cs="宋体"/>
          <w:b/>
          <w:bCs/>
          <w:kern w:val="0"/>
          <w:sz w:val="28"/>
          <w:szCs w:val="28"/>
        </w:rPr>
        <w:t>3</w:t>
      </w:r>
      <w:r>
        <w:rPr>
          <w:rFonts w:hint="eastAsia" w:ascii="宋体" w:hAnsi="??_GB2312" w:eastAsia="宋体" w:cs="宋体"/>
          <w:b/>
          <w:bCs/>
          <w:kern w:val="0"/>
          <w:sz w:val="28"/>
          <w:szCs w:val="28"/>
          <w:lang w:val="zh-CN"/>
        </w:rPr>
        <w:t>.</w:t>
      </w:r>
      <w:r>
        <w:rPr>
          <w:rFonts w:hint="eastAsia" w:ascii="宋体" w:hAnsi="??_GB2312" w:eastAsia="宋体" w:cs="宋体"/>
          <w:b/>
          <w:bCs/>
          <w:kern w:val="0"/>
          <w:sz w:val="28"/>
          <w:szCs w:val="28"/>
        </w:rPr>
        <w:t xml:space="preserve">4 </w:t>
      </w:r>
      <w:r>
        <w:rPr>
          <w:rFonts w:hint="eastAsia" w:ascii="宋体" w:hAnsi="??_GB2312" w:eastAsia="宋体" w:cs="宋体"/>
          <w:b/>
          <w:bCs/>
          <w:kern w:val="0"/>
          <w:sz w:val="28"/>
          <w:szCs w:val="28"/>
          <w:lang w:val="zh-CN"/>
        </w:rPr>
        <w:t>规范管理情况</w:t>
      </w:r>
      <w:bookmarkEnd w:id="96"/>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kern w:val="0"/>
          <w:sz w:val="28"/>
          <w:szCs w:val="28"/>
          <w:lang w:val="zh-CN"/>
        </w:rPr>
        <w:t>早在2016年6月，学校就制定了《学校章程》，经昆山市教育局核准实施，及时进行了公布，学校一直严格按照制度对学校进行全面管理，被评为“昆山依法治校示范校”。</w:t>
      </w:r>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b/>
          <w:bCs/>
          <w:kern w:val="0"/>
          <w:sz w:val="28"/>
          <w:szCs w:val="28"/>
          <w:lang w:val="zh-CN"/>
        </w:rPr>
        <w:t>教学管理：</w:t>
      </w:r>
      <w:r>
        <w:rPr>
          <w:rFonts w:hint="eastAsia" w:ascii="宋体" w:hAnsi="??_GB2312" w:eastAsia="宋体" w:cs="宋体"/>
          <w:kern w:val="0"/>
          <w:sz w:val="28"/>
          <w:szCs w:val="28"/>
          <w:lang w:val="zh-CN"/>
        </w:rPr>
        <w:t>按照《教学管理实施条例》组织教学，对教学计划、教材施行有效管理，由教管处、教发处、教研组共同对教学过程、教师业务、教学设施常规管理。</w:t>
      </w:r>
    </w:p>
    <w:p>
      <w:pPr>
        <w:autoSpaceDE w:val="0"/>
        <w:autoSpaceDN w:val="0"/>
        <w:adjustRightInd w:val="0"/>
        <w:spacing w:line="480" w:lineRule="exact"/>
        <w:ind w:firstLine="570"/>
        <w:rPr>
          <w:rFonts w:ascii="宋体" w:hAnsi="??_GB2312" w:eastAsia="宋体" w:cs="宋体"/>
          <w:b/>
          <w:bCs/>
          <w:kern w:val="0"/>
          <w:sz w:val="28"/>
          <w:szCs w:val="28"/>
          <w:lang w:val="zh-CN"/>
        </w:rPr>
      </w:pPr>
      <w:r>
        <w:rPr>
          <w:rFonts w:hint="eastAsia" w:ascii="宋体" w:hAnsi="??_GB2312" w:eastAsia="宋体" w:cs="宋体"/>
          <w:b/>
          <w:bCs/>
          <w:kern w:val="0"/>
          <w:sz w:val="28"/>
          <w:szCs w:val="28"/>
          <w:lang w:val="zh-CN"/>
        </w:rPr>
        <w:t>学生管理：</w:t>
      </w:r>
      <w:r>
        <w:rPr>
          <w:rFonts w:hint="eastAsia" w:ascii="宋体" w:hAnsi="??_GB2312" w:eastAsia="宋体" w:cs="宋体"/>
          <w:kern w:val="0"/>
          <w:sz w:val="28"/>
          <w:szCs w:val="28"/>
          <w:lang w:val="zh-CN"/>
        </w:rPr>
        <w:t>按照《学生管理实施条例》，对学生施行三级管理，即一级是学校领导，二级是学工处、团委、学生会，三级是班主任、任课教师团支部及班委组织实施。对学生文明礼仪、职业道德、理想信念、创业就业、遵纪守法、心理健康进行全面教育管理。</w:t>
      </w:r>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b/>
          <w:bCs/>
          <w:kern w:val="0"/>
          <w:sz w:val="28"/>
          <w:szCs w:val="28"/>
          <w:lang w:val="zh-CN"/>
        </w:rPr>
        <w:t>财务管理：</w:t>
      </w:r>
      <w:r>
        <w:rPr>
          <w:rFonts w:hint="eastAsia" w:ascii="宋体" w:hAnsi="??_GB2312" w:eastAsia="宋体" w:cs="宋体"/>
          <w:kern w:val="0"/>
          <w:sz w:val="28"/>
          <w:szCs w:val="28"/>
          <w:lang w:val="zh-CN"/>
        </w:rPr>
        <w:t>由校长直接领导，并由财务处并按照《各项收入管理制度》、《财务报销与审批制度》、《固定资产管理制度》、《财务报表及预决算报表管理制度》、《财务票证、印鉴管理制度》具体负责财务管理，三万元以下由校长办公会议讨论决定，三万元以上由“三重一大”会议讨论并上报上级部门。后勤管理：按照发《行政后勤管理实施条例》，由后勤处具体进行校园管理、资产管理、膳食管理和基建工程管理。</w:t>
      </w:r>
    </w:p>
    <w:p>
      <w:pPr>
        <w:autoSpaceDE w:val="0"/>
        <w:autoSpaceDN w:val="0"/>
        <w:adjustRightInd w:val="0"/>
        <w:spacing w:line="480" w:lineRule="exact"/>
        <w:ind w:firstLine="570"/>
        <w:rPr>
          <w:rFonts w:ascii="宋体" w:hAnsi="??_GB2312" w:eastAsia="宋体" w:cs="宋体"/>
          <w:b/>
          <w:bCs/>
          <w:kern w:val="0"/>
          <w:sz w:val="28"/>
          <w:szCs w:val="28"/>
        </w:rPr>
      </w:pPr>
      <w:r>
        <w:rPr>
          <w:rFonts w:hint="eastAsia" w:ascii="宋体" w:hAnsi="??_GB2312" w:eastAsia="宋体" w:cs="宋体"/>
          <w:b/>
          <w:bCs/>
          <w:kern w:val="0"/>
          <w:sz w:val="28"/>
          <w:szCs w:val="28"/>
          <w:lang w:val="zh-CN"/>
        </w:rPr>
        <w:t>安全管理</w:t>
      </w:r>
      <w:r>
        <w:rPr>
          <w:rFonts w:hint="eastAsia" w:ascii="宋体" w:hAnsi="??_GB2312" w:eastAsia="宋体" w:cs="宋体"/>
          <w:b/>
          <w:bCs/>
          <w:kern w:val="0"/>
          <w:sz w:val="28"/>
          <w:szCs w:val="28"/>
        </w:rPr>
        <w:t>:</w:t>
      </w:r>
      <w:r>
        <w:rPr>
          <w:rFonts w:hint="eastAsia" w:ascii="宋体" w:hAnsi="??_GB2312" w:eastAsia="宋体" w:cs="宋体"/>
          <w:kern w:val="0"/>
          <w:sz w:val="28"/>
          <w:szCs w:val="28"/>
        </w:rPr>
        <w:t>校长对学校安全全面负责，全体教职员工签订《一岗双责责任书》，安保处具体配合各部门做好安全教育工作、校园安全管理、学校活动安全管理、设施安全管理、实习实训安全管理和应急救助与事故处理等安全工作，并定期组织紧急安全演练。</w:t>
      </w:r>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b/>
          <w:bCs/>
          <w:kern w:val="0"/>
          <w:sz w:val="28"/>
          <w:szCs w:val="28"/>
          <w:lang w:val="zh-CN"/>
        </w:rPr>
        <w:t>科研管理：</w:t>
      </w:r>
      <w:r>
        <w:rPr>
          <w:rFonts w:hint="eastAsia" w:ascii="宋体" w:hAnsi="??_GB2312" w:eastAsia="宋体" w:cs="宋体"/>
          <w:kern w:val="0"/>
          <w:sz w:val="28"/>
          <w:szCs w:val="28"/>
          <w:lang w:val="zh-CN"/>
        </w:rPr>
        <w:t>积极营造良好的科研环境，以教师成长为核心，以课题研究为载体，以学术研讨为平台，以专业建设为依托，加强校本教研培训，并以“孔子学堂”“青年之声国学教育示范基地”助推学校德育品牌建设，提高学校内涵建设。同时，以“高层次人才培养研修班”、名师工作室、“青蓝工程”为抓手，引领教科研骨干队伍建设，加强对青年教师的培养。</w:t>
      </w:r>
    </w:p>
    <w:p>
      <w:pPr>
        <w:spacing w:line="480" w:lineRule="exact"/>
        <w:ind w:firstLine="562" w:firstLineChars="200"/>
        <w:rPr>
          <w:rFonts w:ascii="宋体" w:hAnsi="??_GB2312" w:eastAsia="宋体" w:cs="宋体"/>
          <w:kern w:val="0"/>
          <w:sz w:val="28"/>
          <w:szCs w:val="28"/>
        </w:rPr>
      </w:pPr>
      <w:r>
        <w:rPr>
          <w:rFonts w:hint="eastAsia" w:ascii="宋体" w:hAnsi="??_GB2312" w:eastAsia="宋体" w:cs="宋体"/>
          <w:b/>
          <w:bCs/>
          <w:kern w:val="0"/>
          <w:sz w:val="28"/>
          <w:szCs w:val="28"/>
          <w:lang w:val="zh-CN"/>
        </w:rPr>
        <w:t>队伍管理</w:t>
      </w:r>
      <w:r>
        <w:rPr>
          <w:rFonts w:hint="eastAsia" w:ascii="宋体" w:hAnsi="??_GB2312" w:eastAsia="宋体" w:cs="宋体"/>
          <w:b/>
          <w:bCs/>
          <w:kern w:val="0"/>
          <w:sz w:val="28"/>
          <w:szCs w:val="28"/>
        </w:rPr>
        <w:t>:</w:t>
      </w:r>
      <w:r>
        <w:rPr>
          <w:rFonts w:hint="eastAsia" w:ascii="宋体" w:hAnsi="??_GB2312" w:eastAsia="宋体" w:cs="宋体"/>
          <w:kern w:val="0"/>
          <w:sz w:val="28"/>
          <w:szCs w:val="28"/>
          <w:lang w:val="zh-CN"/>
        </w:rPr>
        <w:t>学校积极推进内部人事管理制度的改革，注重管理队伍梯队建设，不断完善中层干部培养选拔和考核机制，学校通过实行中层干部竞聘制，竞争上岗，形成了“公开竞聘、竞争上岗、能上能下”科学合理的干部管理机制。 加强教育培养，积极搭建平台，鼓励他们参与各级各类培训与进修；为充分激发中层管理团队的内在动力，学校建立了较全面、客观、公正的管理人员评价机制，成立考核小组，在每学期期末组织全体教职工对中层管理人员进行满意度测评。充分体现了“公开、公平、公正”原则，极大地调动了中层管理队伍的工作主观能动性。</w:t>
      </w:r>
    </w:p>
    <w:p>
      <w:pPr>
        <w:autoSpaceDE w:val="0"/>
        <w:autoSpaceDN w:val="0"/>
        <w:adjustRightInd w:val="0"/>
        <w:spacing w:line="480" w:lineRule="exact"/>
        <w:ind w:firstLine="573"/>
        <w:outlineLvl w:val="1"/>
        <w:rPr>
          <w:rFonts w:ascii="宋体" w:hAnsi="??_GB2312" w:eastAsia="宋体" w:cs="宋体"/>
          <w:b/>
          <w:bCs/>
          <w:kern w:val="0"/>
          <w:sz w:val="28"/>
          <w:szCs w:val="28"/>
        </w:rPr>
      </w:pPr>
      <w:bookmarkStart w:id="97" w:name="_Toc15663"/>
      <w:r>
        <w:rPr>
          <w:rFonts w:hint="eastAsia" w:ascii="宋体" w:hAnsi="??_GB2312" w:eastAsia="宋体" w:cs="宋体"/>
          <w:b/>
          <w:bCs/>
          <w:kern w:val="0"/>
          <w:sz w:val="28"/>
          <w:szCs w:val="28"/>
        </w:rPr>
        <w:t>3.5 德育工作情况</w:t>
      </w:r>
      <w:bookmarkEnd w:id="97"/>
      <w:r>
        <w:rPr>
          <w:rFonts w:hint="eastAsia" w:ascii="宋体" w:hAnsi="??_GB2312" w:eastAsia="宋体" w:cs="宋体"/>
          <w:b/>
          <w:bCs/>
          <w:kern w:val="0"/>
          <w:sz w:val="28"/>
          <w:szCs w:val="28"/>
        </w:rPr>
        <w:t xml:space="preserve"> </w:t>
      </w:r>
    </w:p>
    <w:p>
      <w:pPr>
        <w:autoSpaceDE w:val="0"/>
        <w:autoSpaceDN w:val="0"/>
        <w:adjustRightInd w:val="0"/>
        <w:spacing w:line="480" w:lineRule="exact"/>
        <w:ind w:firstLine="573"/>
        <w:rPr>
          <w:rFonts w:ascii="宋体" w:hAnsi="??_GB2312" w:eastAsia="宋体" w:cs="宋体"/>
          <w:kern w:val="0"/>
          <w:sz w:val="24"/>
          <w:szCs w:val="24"/>
        </w:rPr>
      </w:pPr>
      <w:r>
        <w:rPr>
          <w:rFonts w:hint="eastAsia" w:ascii="宋体" w:hAnsi="??_GB2312" w:eastAsia="宋体" w:cs="宋体"/>
          <w:kern w:val="0"/>
          <w:sz w:val="28"/>
          <w:szCs w:val="28"/>
        </w:rPr>
        <w:t>学校被评为“昆山市书香校园”</w:t>
      </w:r>
      <w:r>
        <w:rPr>
          <w:rFonts w:hint="eastAsia" w:ascii="宋体" w:hAnsi="??_GB2312" w:eastAsia="宋体" w:cs="宋体"/>
          <w:color w:val="auto"/>
          <w:kern w:val="0"/>
          <w:sz w:val="28"/>
          <w:szCs w:val="28"/>
        </w:rPr>
        <w:t>、“昆山市优美校园”、“昆山市文明校园”，优美的校园环境、现代化的办</w:t>
      </w:r>
      <w:r>
        <w:rPr>
          <w:rFonts w:hint="eastAsia" w:ascii="宋体" w:hAnsi="??_GB2312" w:eastAsia="宋体" w:cs="宋体"/>
          <w:kern w:val="0"/>
          <w:sz w:val="28"/>
          <w:szCs w:val="28"/>
        </w:rPr>
        <w:t>学条件、充满书香的文化氛围，是学生学习的理想场所。学校建有实体和数字图书馆（电子阅览室），实行信息化管理。现有纸质图书68017册，专业纸质图书26173册，电子图书300000万册，每年报刊杂志订阅80余种。学校每年定期组织举行“文化艺术节”和“田径运动会”活动，职业文化艺术节中涵盖了师生技能大赛、歌舞书画、演讲、征文、摄影等比赛，全校师生竞赛面达100%。另外，学校还每年组织“文明风采”、元旦文艺汇演、诵读、球类等活动；学校市级以上文明风采竞赛中获奖18人次。</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为落实立德树人根本任务，推进全员、全程、全方位育人，提升学校德育建设水平，决定在全校推行“成长德育”品牌建设</w:t>
      </w:r>
      <w:r>
        <w:rPr>
          <w:rFonts w:hint="eastAsia" w:ascii="宋体" w:hAnsi="??_GB2312" w:eastAsia="宋体" w:cs="宋体"/>
          <w:kern w:val="0"/>
          <w:sz w:val="28"/>
          <w:szCs w:val="28"/>
          <w:lang w:val="zh-CN"/>
        </w:rPr>
        <w:t>。</w:t>
      </w:r>
      <w:r>
        <w:rPr>
          <w:rFonts w:hint="eastAsia" w:ascii="宋体" w:hAnsi="??_GB2312" w:eastAsia="宋体" w:cs="宋体"/>
          <w:kern w:val="0"/>
          <w:sz w:val="28"/>
          <w:szCs w:val="28"/>
        </w:rPr>
        <w:t>以“年有展示、月有主题、周有活动、日有善行”为主线，围绕中国文化、课程思政、实训实习、校园活动、职业指导、心理辅导、社会实践、家庭社会等八个方面，打造以“四有八径”为主要内容的“成长德育”品牌，</w:t>
      </w:r>
      <w:r>
        <w:rPr>
          <w:rFonts w:hint="eastAsia" w:ascii="宋体" w:hAnsi="??_GB2312" w:eastAsia="宋体" w:cs="宋体"/>
          <w:kern w:val="0"/>
          <w:sz w:val="28"/>
          <w:szCs w:val="28"/>
          <w:lang w:val="zh-CN"/>
        </w:rPr>
        <w:t>助力中职学生在“拔节孕穗期”健康成长</w:t>
      </w:r>
      <w:r>
        <w:rPr>
          <w:rFonts w:hint="eastAsia" w:ascii="宋体" w:hAnsi="??_GB2312" w:eastAsia="宋体" w:cs="宋体"/>
          <w:kern w:val="0"/>
          <w:sz w:val="28"/>
          <w:szCs w:val="28"/>
        </w:rPr>
        <w:t>。</w:t>
      </w:r>
    </w:p>
    <w:p>
      <w:pPr>
        <w:autoSpaceDE w:val="0"/>
        <w:autoSpaceDN w:val="0"/>
        <w:adjustRightInd w:val="0"/>
        <w:spacing w:line="480" w:lineRule="exact"/>
        <w:ind w:firstLine="573"/>
        <w:outlineLvl w:val="2"/>
        <w:rPr>
          <w:rFonts w:ascii="宋体" w:hAnsi="??_GB2312" w:eastAsia="宋体" w:cs="宋体"/>
          <w:kern w:val="0"/>
          <w:sz w:val="28"/>
          <w:szCs w:val="28"/>
        </w:rPr>
      </w:pPr>
      <w:bookmarkStart w:id="98" w:name="_Toc5157"/>
      <w:r>
        <w:rPr>
          <w:rFonts w:hint="eastAsia" w:ascii="宋体" w:hAnsi="??_GB2312" w:eastAsia="宋体" w:cs="宋体"/>
          <w:kern w:val="0"/>
          <w:sz w:val="28"/>
          <w:szCs w:val="28"/>
        </w:rPr>
        <w:t>（一）以“四有”为主线</w:t>
      </w:r>
      <w:bookmarkEnd w:id="98"/>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1.年有展示：举办年度“成长汇报”，开展综合性学生德育展示、会演、评比等活动，集中展示本学年德育成果，营造健康向善的校园氛围。</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2.月有主题：确定每月德育主题，各班级以此主题开展德育活动。</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3.周有活动：围绕每月主题，排定计划，统分结合，开展以或班级或系部或全校为单元的主题活动。</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4.日有善行：建立“日有善行”日志，鼓励善行义举，记录成长历程，引导学生从善向善。</w:t>
      </w:r>
    </w:p>
    <w:p>
      <w:pPr>
        <w:autoSpaceDE w:val="0"/>
        <w:autoSpaceDN w:val="0"/>
        <w:adjustRightInd w:val="0"/>
        <w:spacing w:line="480" w:lineRule="exact"/>
        <w:ind w:firstLine="573"/>
        <w:outlineLvl w:val="2"/>
        <w:rPr>
          <w:rFonts w:ascii="宋体" w:hAnsi="??_GB2312" w:eastAsia="宋体" w:cs="宋体"/>
          <w:kern w:val="0"/>
          <w:sz w:val="28"/>
          <w:szCs w:val="28"/>
        </w:rPr>
      </w:pPr>
      <w:bookmarkStart w:id="99" w:name="_Toc15538"/>
      <w:r>
        <w:rPr>
          <w:rFonts w:hint="eastAsia" w:ascii="宋体" w:hAnsi="??_GB2312" w:eastAsia="宋体" w:cs="宋体"/>
          <w:kern w:val="0"/>
          <w:sz w:val="28"/>
          <w:szCs w:val="28"/>
        </w:rPr>
        <w:t>（二）以“八径”为主径</w:t>
      </w:r>
      <w:bookmarkEnd w:id="99"/>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1.中国文化：通过班会课、学习强国平台、孔子学堂等平台，宣传习近平新时代中国特色社会主义思想、社会主义核心价值观、中国优秀传统文化、中国革命文化、改革开放文化等，教育滋养学生。</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2.课程思政：试点课程思政改革，在课程教学中融入思想政治教育，以点带面推进“三全育人”。</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3.实习实训：强化工匠精神培育，深化校企合作，开展跟岗、定岗实习，在实习实训中提升职业道德，增强学生的成长本领。</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4.校园活动：调动学生积极性，广泛开展各类文体活动、主题活动，丰富学生校园生活，滋养学生健康成长。</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5.职业辅导：开展生活规划、职业意识、创业升学等方面的教育、培训，提升学生发展意识，增强学生成长能力。</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6.心理辅导：有效开展心理咨询，加强心理健康辅导和人文关怀，全力扫除学生在成长中的心理障碍。</w:t>
      </w:r>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7.社会实践：扩大学生志愿者队伍，更大力度开展学生志愿活动、公益活动，鼓励学生融入社会、乐于奉献，培养学生适应社会服务社会的能力。</w:t>
      </w:r>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rPr>
        <w:t>8.家庭社会：积极搭建学校、家庭、社会共建共育平台，合力开展有益于学生健康成长的活动。</w:t>
      </w:r>
    </w:p>
    <w:p>
      <w:pPr>
        <w:autoSpaceDE w:val="0"/>
        <w:autoSpaceDN w:val="0"/>
        <w:adjustRightInd w:val="0"/>
        <w:spacing w:line="480" w:lineRule="exact"/>
        <w:ind w:firstLine="573"/>
        <w:rPr>
          <w:rFonts w:ascii="宋体" w:hAnsi="??_GB2312" w:eastAsia="宋体" w:cs="宋体"/>
          <w:kern w:val="0"/>
          <w:sz w:val="28"/>
          <w:szCs w:val="28"/>
          <w:lang w:val="zh-CN"/>
        </w:rPr>
      </w:pPr>
      <w:r>
        <w:rPr>
          <w:rFonts w:hint="eastAsia" w:ascii="宋体" w:hAnsi="??_GB2312" w:eastAsia="宋体" w:cs="宋体"/>
          <w:kern w:val="0"/>
          <w:sz w:val="28"/>
          <w:szCs w:val="28"/>
          <w:lang w:val="zh-CN"/>
        </w:rPr>
        <w:t>社团建设成效显著</w:t>
      </w:r>
      <w:r>
        <w:rPr>
          <w:rFonts w:hint="eastAsia" w:ascii="宋体" w:hAnsi="??_GB2312" w:eastAsia="宋体" w:cs="宋体"/>
          <w:kern w:val="0"/>
          <w:sz w:val="28"/>
          <w:szCs w:val="28"/>
        </w:rPr>
        <w:t>:</w:t>
      </w:r>
      <w:r>
        <w:rPr>
          <w:rFonts w:hint="eastAsia" w:ascii="宋体" w:hAnsi="??_GB2312" w:eastAsia="宋体" w:cs="宋体"/>
          <w:kern w:val="0"/>
          <w:sz w:val="28"/>
          <w:szCs w:val="28"/>
          <w:lang w:val="zh-CN"/>
        </w:rPr>
        <w:t>我校目前共有街舞社、舞蹈社、吉他社、演讲社等11个社团，每个社团都有专业的老师负责。今年</w:t>
      </w:r>
      <w:r>
        <w:rPr>
          <w:rFonts w:hint="eastAsia" w:ascii="宋体" w:hAnsi="??_GB2312" w:eastAsia="宋体" w:cs="宋体"/>
          <w:kern w:val="0"/>
          <w:sz w:val="28"/>
          <w:szCs w:val="28"/>
        </w:rPr>
        <w:t>10月，我校</w:t>
      </w:r>
      <w:r>
        <w:rPr>
          <w:rFonts w:hint="eastAsia" w:ascii="宋体" w:hAnsi="??_GB2312" w:eastAsia="宋体" w:cs="宋体"/>
          <w:kern w:val="0"/>
          <w:sz w:val="28"/>
          <w:szCs w:val="28"/>
          <w:lang w:val="zh-CN"/>
        </w:rPr>
        <w:t>开展了</w:t>
      </w:r>
      <w:r>
        <w:rPr>
          <w:rFonts w:hint="eastAsia" w:ascii="宋体" w:hAnsi="??_GB2312" w:eastAsia="宋体" w:cs="宋体"/>
          <w:kern w:val="0"/>
          <w:sz w:val="28"/>
          <w:szCs w:val="28"/>
        </w:rPr>
        <w:t>2020</w:t>
      </w:r>
      <w:r>
        <w:rPr>
          <w:rFonts w:hint="eastAsia" w:ascii="宋体" w:hAnsi="??_GB2312" w:eastAsia="宋体" w:cs="宋体"/>
          <w:kern w:val="0"/>
          <w:sz w:val="28"/>
          <w:szCs w:val="28"/>
          <w:lang w:val="zh-CN"/>
        </w:rPr>
        <w:t>级学生社团招新展演活动，为社团注入了新鲜“血液”，增加了社团的活力。各社团多才多艺，能力出众，硕果累累。本年度，我校飞扬舞蹈社在2020“舞动中国——排舞联赛”江苏站线上比赛中，荣获职业中专组女生组大集体律动类自选曲目特等奖、职业中专组混合组大集体规定曲目特等奖，取得团体总分第一名的好成绩！</w:t>
      </w:r>
    </w:p>
    <w:p>
      <w:pPr>
        <w:autoSpaceDE w:val="0"/>
        <w:autoSpaceDN w:val="0"/>
        <w:adjustRightInd w:val="0"/>
        <w:spacing w:line="480" w:lineRule="exact"/>
        <w:ind w:firstLine="573"/>
        <w:rPr>
          <w:rFonts w:ascii="宋体" w:hAnsi="??_GB2312" w:eastAsia="宋体" w:cs="宋体"/>
          <w:b/>
          <w:bCs/>
          <w:kern w:val="0"/>
          <w:sz w:val="28"/>
          <w:szCs w:val="28"/>
        </w:rPr>
      </w:pPr>
      <w:r>
        <w:rPr>
          <w:rFonts w:hint="eastAsia" w:ascii="宋体" w:hAnsi="??_GB2312" w:eastAsia="宋体" w:cs="宋体"/>
          <w:kern w:val="0"/>
          <w:sz w:val="28"/>
          <w:szCs w:val="28"/>
          <w:lang w:val="zh-CN"/>
        </w:rPr>
        <w:t>团建项目扎实推进</w:t>
      </w:r>
      <w:r>
        <w:rPr>
          <w:rFonts w:hint="eastAsia" w:ascii="宋体" w:hAnsi="??_GB2312" w:eastAsia="宋体" w:cs="宋体"/>
          <w:kern w:val="0"/>
          <w:sz w:val="28"/>
          <w:szCs w:val="28"/>
        </w:rPr>
        <w:t>:</w:t>
      </w:r>
      <w:r>
        <w:rPr>
          <w:rFonts w:hint="eastAsia" w:ascii="宋体" w:hAnsi="??_GB2312" w:eastAsia="宋体" w:cs="宋体"/>
          <w:kern w:val="0"/>
          <w:sz w:val="28"/>
          <w:szCs w:val="28"/>
          <w:lang w:val="zh-CN"/>
        </w:rPr>
        <w:t>各班班主任为团支部辅导员，指导各团支部团员教育、组织建设，开展团支部活动。本年度，开展了新团员入团仪式以及优秀团员表彰仪式，开展了爱心义卖、旧衣新旅、织围巾送温暖等志愿活动。团委组织参赛的各项活动均取得了不俗的成绩：</w:t>
      </w:r>
      <w:r>
        <w:rPr>
          <w:rFonts w:hint="eastAsia" w:ascii="宋体" w:hAnsi="??_GB2312" w:eastAsia="宋体" w:cs="宋体"/>
          <w:kern w:val="0"/>
          <w:sz w:val="28"/>
          <w:szCs w:val="28"/>
        </w:rPr>
        <w:t>7</w:t>
      </w:r>
      <w:r>
        <w:rPr>
          <w:rFonts w:hint="eastAsia" w:ascii="宋体" w:hAnsi="??_GB2312" w:eastAsia="宋体" w:cs="宋体"/>
          <w:kern w:val="0"/>
          <w:sz w:val="28"/>
          <w:szCs w:val="28"/>
          <w:lang w:val="zh-CN"/>
        </w:rPr>
        <w:t>件作品在第十一届江苏省文明风采竞赛中获市二等奖，</w:t>
      </w:r>
      <w:r>
        <w:rPr>
          <w:rFonts w:hint="eastAsia" w:ascii="宋体" w:hAnsi="??_GB2312" w:eastAsia="宋体" w:cs="宋体"/>
          <w:kern w:val="0"/>
          <w:sz w:val="28"/>
          <w:szCs w:val="28"/>
        </w:rPr>
        <w:t>11</w:t>
      </w:r>
      <w:r>
        <w:rPr>
          <w:rFonts w:hint="eastAsia" w:ascii="宋体" w:hAnsi="??_GB2312" w:eastAsia="宋体" w:cs="宋体"/>
          <w:kern w:val="0"/>
          <w:sz w:val="28"/>
          <w:szCs w:val="28"/>
          <w:lang w:val="zh-CN"/>
        </w:rPr>
        <w:t>件作品在第十届苏州市文明风采竞赛中获市三等奖。</w:t>
      </w:r>
    </w:p>
    <w:p>
      <w:pPr>
        <w:autoSpaceDE w:val="0"/>
        <w:autoSpaceDN w:val="0"/>
        <w:adjustRightInd w:val="0"/>
        <w:spacing w:line="480" w:lineRule="exact"/>
        <w:ind w:firstLine="573"/>
        <w:outlineLvl w:val="1"/>
        <w:rPr>
          <w:rFonts w:ascii="宋体" w:hAnsi="??_GB2312" w:eastAsia="宋体" w:cs="宋体"/>
          <w:b/>
          <w:bCs/>
          <w:kern w:val="0"/>
          <w:sz w:val="28"/>
          <w:szCs w:val="28"/>
        </w:rPr>
      </w:pPr>
      <w:bookmarkStart w:id="100" w:name="_Toc28720"/>
      <w:r>
        <w:rPr>
          <w:rFonts w:hint="eastAsia" w:ascii="宋体" w:hAnsi="??_GB2312" w:eastAsia="宋体" w:cs="宋体"/>
          <w:b/>
          <w:bCs/>
          <w:kern w:val="0"/>
          <w:sz w:val="28"/>
          <w:szCs w:val="28"/>
        </w:rPr>
        <w:t>3.6 党建情况</w:t>
      </w:r>
      <w:bookmarkEnd w:id="100"/>
    </w:p>
    <w:p>
      <w:pPr>
        <w:autoSpaceDE w:val="0"/>
        <w:autoSpaceDN w:val="0"/>
        <w:adjustRightInd w:val="0"/>
        <w:spacing w:line="480" w:lineRule="exact"/>
        <w:ind w:firstLine="573"/>
        <w:outlineLvl w:val="2"/>
        <w:rPr>
          <w:rFonts w:ascii="宋体" w:hAnsi="??_GB2312" w:eastAsia="宋体" w:cs="宋体"/>
          <w:b/>
          <w:bCs/>
          <w:kern w:val="0"/>
          <w:sz w:val="28"/>
          <w:szCs w:val="28"/>
          <w:lang w:val="zh-CN"/>
        </w:rPr>
      </w:pPr>
      <w:bookmarkStart w:id="101" w:name="_Toc28153"/>
      <w:bookmarkStart w:id="102" w:name="_Toc20199_WPSOffice_Level2"/>
      <w:bookmarkStart w:id="103" w:name="_Toc3060"/>
      <w:bookmarkStart w:id="104" w:name="_Toc13047"/>
      <w:bookmarkStart w:id="105" w:name="_Toc15322_WPSOffice_Level2"/>
      <w:r>
        <w:rPr>
          <w:rFonts w:hint="eastAsia" w:ascii="宋体" w:hAnsi="??_GB2312" w:eastAsia="宋体" w:cs="宋体"/>
          <w:b/>
          <w:bCs/>
          <w:kern w:val="0"/>
          <w:sz w:val="28"/>
          <w:szCs w:val="28"/>
          <w:lang w:val="zh-CN"/>
        </w:rPr>
        <w:t>1.健全党建管理体制</w:t>
      </w:r>
      <w:bookmarkEnd w:id="101"/>
      <w:bookmarkEnd w:id="102"/>
      <w:bookmarkEnd w:id="103"/>
      <w:bookmarkEnd w:id="104"/>
      <w:bookmarkEnd w:id="105"/>
    </w:p>
    <w:p>
      <w:pPr>
        <w:spacing w:line="480" w:lineRule="exact"/>
        <w:ind w:firstLine="560" w:firstLineChars="200"/>
        <w:rPr>
          <w:rFonts w:ascii="宋体" w:hAnsi="??_GB2312" w:eastAsia="宋体" w:cs="宋体"/>
          <w:kern w:val="0"/>
          <w:sz w:val="28"/>
          <w:szCs w:val="28"/>
        </w:rPr>
      </w:pPr>
      <w:r>
        <w:rPr>
          <w:rFonts w:hint="eastAsia" w:ascii="宋体" w:hAnsi="??_GB2312" w:eastAsia="宋体" w:cs="宋体"/>
          <w:kern w:val="0"/>
          <w:sz w:val="28"/>
          <w:szCs w:val="28"/>
        </w:rPr>
        <w:t>中共花桥国际商务城中等专业学校总支部，前身为中共花桥国际商务城中等专业学校党支部，成立于2010年。目前，在职党员共55名，</w:t>
      </w:r>
      <w:r>
        <w:rPr>
          <w:rFonts w:hint="eastAsia" w:ascii="宋体" w:hAnsi="??_GB2312" w:eastAsia="宋体" w:cs="宋体"/>
          <w:kern w:val="0"/>
          <w:sz w:val="28"/>
          <w:szCs w:val="28"/>
          <w:lang w:val="zh-CN"/>
        </w:rPr>
        <w:t>退休教师党员</w:t>
      </w:r>
      <w:r>
        <w:rPr>
          <w:rFonts w:hint="eastAsia" w:ascii="宋体" w:hAnsi="??_GB2312" w:eastAsia="宋体" w:cs="宋体"/>
          <w:kern w:val="0"/>
          <w:sz w:val="28"/>
          <w:szCs w:val="28"/>
        </w:rPr>
        <w:t>7</w:t>
      </w:r>
      <w:r>
        <w:rPr>
          <w:rFonts w:hint="eastAsia" w:ascii="宋体" w:hAnsi="??_GB2312" w:eastAsia="宋体" w:cs="宋体"/>
          <w:kern w:val="0"/>
          <w:sz w:val="28"/>
          <w:szCs w:val="28"/>
          <w:lang w:val="zh-CN"/>
        </w:rPr>
        <w:t>名，目前有发展对象1名，入党积极分子</w:t>
      </w:r>
      <w:r>
        <w:rPr>
          <w:rFonts w:hint="eastAsia" w:ascii="宋体" w:hAnsi="??_GB2312" w:eastAsia="宋体" w:cs="宋体"/>
          <w:kern w:val="0"/>
          <w:sz w:val="28"/>
          <w:szCs w:val="28"/>
        </w:rPr>
        <w:t>2</w:t>
      </w:r>
      <w:r>
        <w:rPr>
          <w:rFonts w:hint="eastAsia" w:ascii="宋体" w:hAnsi="??_GB2312" w:eastAsia="宋体" w:cs="宋体"/>
          <w:kern w:val="0"/>
          <w:sz w:val="28"/>
          <w:szCs w:val="28"/>
          <w:lang w:val="zh-CN"/>
        </w:rPr>
        <w:t>名。</w:t>
      </w:r>
      <w:r>
        <w:rPr>
          <w:rFonts w:hint="eastAsia" w:ascii="宋体" w:hAnsi="??_GB2312" w:eastAsia="宋体" w:cs="宋体"/>
          <w:kern w:val="0"/>
          <w:sz w:val="28"/>
          <w:szCs w:val="28"/>
        </w:rPr>
        <w:t>2019年</w:t>
      </w:r>
      <w:r>
        <w:rPr>
          <w:rFonts w:ascii="宋体" w:hAnsi="??_GB2312" w:eastAsia="宋体" w:cs="宋体"/>
          <w:kern w:val="0"/>
          <w:sz w:val="28"/>
          <w:szCs w:val="28"/>
        </w:rPr>
        <w:t>0</w:t>
      </w:r>
      <w:r>
        <w:rPr>
          <w:rFonts w:hint="eastAsia" w:ascii="宋体" w:hAnsi="??_GB2312" w:eastAsia="宋体" w:cs="宋体"/>
          <w:kern w:val="0"/>
          <w:sz w:val="28"/>
          <w:szCs w:val="28"/>
        </w:rPr>
        <w:t>3月，升格为党总支，下设3个党支部：中共花桥国际商务城中等专业学校第一党支部、第二党支部、第三党支部。</w:t>
      </w:r>
    </w:p>
    <w:p>
      <w:pPr>
        <w:spacing w:line="480" w:lineRule="exact"/>
        <w:ind w:firstLine="560" w:firstLineChars="200"/>
        <w:rPr>
          <w:rFonts w:ascii="宋体" w:hAnsi="??_GB2312" w:eastAsia="宋体" w:cs="宋体"/>
          <w:color w:val="auto"/>
          <w:kern w:val="0"/>
          <w:sz w:val="28"/>
          <w:szCs w:val="28"/>
          <w:lang w:val="zh-CN"/>
        </w:rPr>
      </w:pPr>
      <w:r>
        <w:rPr>
          <w:rFonts w:hint="eastAsia" w:ascii="宋体" w:hAnsi="??_GB2312" w:eastAsia="宋体" w:cs="宋体"/>
          <w:kern w:val="0"/>
          <w:sz w:val="28"/>
          <w:szCs w:val="28"/>
          <w:lang w:val="zh-CN"/>
        </w:rPr>
        <w:t>（1）</w:t>
      </w:r>
      <w:r>
        <w:rPr>
          <w:rFonts w:ascii="宋体" w:hAnsi="??_GB2312" w:eastAsia="宋体" w:cs="宋体"/>
          <w:kern w:val="0"/>
          <w:sz w:val="28"/>
          <w:szCs w:val="28"/>
          <w:lang w:val="zh-CN"/>
        </w:rPr>
        <w:t>阵地建设规范化。规范化建设党组织活动场所的引导模块、宣传模块、入口模块和阵地模块，拥有规范统一视觉识别系统，将统一的标识应用于各类相关软硬件设施上</w:t>
      </w:r>
      <w:r>
        <w:rPr>
          <w:rFonts w:hint="eastAsia" w:ascii="宋体" w:hAnsi="??_GB2312" w:eastAsia="宋体" w:cs="宋体"/>
          <w:kern w:val="0"/>
          <w:sz w:val="28"/>
          <w:szCs w:val="28"/>
          <w:lang w:val="zh-CN"/>
        </w:rPr>
        <w:t>，</w:t>
      </w:r>
      <w:r>
        <w:rPr>
          <w:rFonts w:ascii="宋体" w:hAnsi="??_GB2312" w:eastAsia="宋体" w:cs="宋体"/>
          <w:color w:val="auto"/>
          <w:kern w:val="0"/>
          <w:sz w:val="28"/>
          <w:szCs w:val="28"/>
          <w:lang w:val="zh-CN"/>
        </w:rPr>
        <w:t>校党总支</w:t>
      </w:r>
      <w:r>
        <w:rPr>
          <w:rFonts w:hint="eastAsia" w:ascii="宋体" w:hAnsi="??_GB2312" w:eastAsia="宋体" w:cs="宋体"/>
          <w:color w:val="auto"/>
          <w:kern w:val="0"/>
          <w:sz w:val="28"/>
          <w:szCs w:val="28"/>
          <w:lang w:val="zh-CN"/>
        </w:rPr>
        <w:t>“一所二室三厅一学堂”阵地建设得到上级党工委好评</w:t>
      </w:r>
      <w:r>
        <w:rPr>
          <w:rFonts w:ascii="宋体" w:hAnsi="??_GB2312" w:eastAsia="宋体" w:cs="宋体"/>
          <w:color w:val="auto"/>
          <w:kern w:val="0"/>
          <w:sz w:val="28"/>
          <w:szCs w:val="28"/>
          <w:lang w:val="zh-CN"/>
        </w:rPr>
        <w:t>。</w:t>
      </w:r>
      <w:r>
        <w:rPr>
          <w:rFonts w:hint="eastAsia" w:ascii="宋体" w:hAnsi="??_GB2312" w:eastAsia="宋体" w:cs="宋体"/>
          <w:color w:val="auto"/>
          <w:kern w:val="0"/>
          <w:sz w:val="28"/>
          <w:szCs w:val="28"/>
          <w:lang w:val="zh-CN"/>
        </w:rPr>
        <w:t>“一所”为“新时代讲习所”，用于学习习近平新时代中国特色社会主义思想和中央地方各级政府会议精神，开展党员交流、党课学习、专家讲座等。同时作为“一学堂”即“孔子学堂”的学习点，主要通过邀请专家授课、开展专题活动、举办论坛交流等形式，继承发扬中华文化经典，用中国优秀传统文化涵养社会主义核心价值观，促进德育工作开展，丰富家校共建内涵，提升受教对象素养。“二室”之一的“校务室”，用于召开校长办公会、行政例会、系部会议等，主要用于研究、部署、总结和交流学校教育教学工作，促进学校内涵建设水平提升；“二室”之二的“党群活动室”，主要用于召开支委会、党小组会议以及党群工作交流等，促进“三联系”工作开展以及党群工作建设；“三厅”为党史厅、党示厅、党誓厅，用于向广大党员教师、学生介绍党的历史，展示党员形象，重温党的誓言，铭记党的宗旨。</w:t>
      </w:r>
    </w:p>
    <w:p>
      <w:pPr>
        <w:spacing w:line="480" w:lineRule="exact"/>
        <w:ind w:firstLine="560" w:firstLineChars="200"/>
        <w:rPr>
          <w:rFonts w:ascii="宋体" w:hAnsi="??_GB2312" w:eastAsia="宋体" w:cs="宋体"/>
          <w:kern w:val="0"/>
          <w:sz w:val="28"/>
          <w:szCs w:val="28"/>
          <w:lang w:val="zh-CN"/>
        </w:rPr>
      </w:pPr>
      <w:r>
        <w:rPr>
          <w:rFonts w:hint="eastAsia" w:ascii="宋体" w:hAnsi="??_GB2312" w:eastAsia="宋体" w:cs="宋体"/>
          <w:kern w:val="0"/>
          <w:sz w:val="28"/>
          <w:szCs w:val="28"/>
          <w:lang w:val="zh-CN"/>
        </w:rPr>
        <w:t>（2）</w:t>
      </w:r>
      <w:r>
        <w:rPr>
          <w:rFonts w:ascii="宋体" w:hAnsi="??_GB2312" w:eastAsia="宋体" w:cs="宋体"/>
          <w:kern w:val="0"/>
          <w:sz w:val="28"/>
          <w:szCs w:val="28"/>
          <w:lang w:val="zh-CN"/>
        </w:rPr>
        <w:t>党建元素规范化。因地制宜采用张贴宣传海报、设置宣传展板、电子屏滚动播放等形式进行宣传展示。宣传内容包括党的十九大精神等，党徽、党旗、入党誓词、党员权利和义务、“三会一课”、党支部组织架构，党务公开内容符合规定，更新及时。做好党建大数据展示和各级相关党建、工作二维码宣传，应积极宣传本部门党的十</w:t>
      </w:r>
      <w:r>
        <w:rPr>
          <w:rFonts w:hint="eastAsia" w:ascii="宋体" w:hAnsi="??_GB2312" w:eastAsia="宋体" w:cs="宋体"/>
          <w:kern w:val="0"/>
          <w:sz w:val="28"/>
          <w:szCs w:val="28"/>
          <w:lang w:val="zh-CN"/>
        </w:rPr>
        <w:t>九</w:t>
      </w:r>
      <w:r>
        <w:rPr>
          <w:rFonts w:ascii="宋体" w:hAnsi="??_GB2312" w:eastAsia="宋体" w:cs="宋体"/>
          <w:kern w:val="0"/>
          <w:sz w:val="28"/>
          <w:szCs w:val="28"/>
          <w:lang w:val="zh-CN"/>
        </w:rPr>
        <w:t>大以来的工作重要成果、重大先进典型和先进事迹。</w:t>
      </w:r>
    </w:p>
    <w:p>
      <w:pPr>
        <w:spacing w:line="480" w:lineRule="exact"/>
        <w:ind w:firstLine="560" w:firstLineChars="200"/>
        <w:rPr>
          <w:rFonts w:ascii="宋体" w:hAnsi="??_GB2312" w:eastAsia="宋体" w:cs="宋体"/>
          <w:kern w:val="0"/>
          <w:sz w:val="28"/>
          <w:szCs w:val="28"/>
          <w:lang w:val="zh-CN"/>
        </w:rPr>
      </w:pPr>
      <w:r>
        <w:rPr>
          <w:rFonts w:hint="eastAsia" w:ascii="宋体" w:hAnsi="??_GB2312" w:eastAsia="宋体" w:cs="宋体"/>
          <w:kern w:val="0"/>
          <w:sz w:val="28"/>
          <w:szCs w:val="28"/>
          <w:lang w:val="zh-CN"/>
        </w:rPr>
        <w:t>（3）</w:t>
      </w:r>
      <w:r>
        <w:rPr>
          <w:rFonts w:ascii="宋体" w:hAnsi="??_GB2312" w:eastAsia="宋体" w:cs="宋体"/>
          <w:kern w:val="0"/>
          <w:sz w:val="28"/>
          <w:szCs w:val="28"/>
          <w:lang w:val="zh-CN"/>
        </w:rPr>
        <w:t>党员管理规范化。配置专职工作人员，开展咨询接待、统筹协调等工作。精确制定发展党员计划，落实党员分类管理和积分考核机制，发挥党员先锋模范作用。</w:t>
      </w:r>
    </w:p>
    <w:p>
      <w:pPr>
        <w:spacing w:line="480" w:lineRule="exact"/>
        <w:ind w:firstLine="560" w:firstLineChars="200"/>
        <w:rPr>
          <w:rFonts w:ascii="宋体" w:hAnsi="??_GB2312" w:eastAsia="宋体" w:cs="宋体"/>
          <w:kern w:val="0"/>
          <w:sz w:val="28"/>
          <w:szCs w:val="28"/>
          <w:lang w:val="zh-CN"/>
        </w:rPr>
      </w:pPr>
      <w:r>
        <w:rPr>
          <w:rFonts w:hint="eastAsia" w:ascii="宋体" w:hAnsi="??_GB2312" w:eastAsia="宋体" w:cs="宋体"/>
          <w:kern w:val="0"/>
          <w:sz w:val="28"/>
          <w:szCs w:val="28"/>
          <w:lang w:val="zh-CN"/>
        </w:rPr>
        <w:t>（4）</w:t>
      </w:r>
      <w:r>
        <w:rPr>
          <w:rFonts w:ascii="宋体" w:hAnsi="??_GB2312" w:eastAsia="宋体" w:cs="宋体"/>
          <w:kern w:val="0"/>
          <w:sz w:val="28"/>
          <w:szCs w:val="28"/>
          <w:lang w:val="zh-CN"/>
        </w:rPr>
        <w:t>阵地服务规范化。紧紧围绕中心工作，积极主动地做好党建工作、服务工作，促进本单位各项任务的顺利完成，实绩明显；常态化制度化推进“两学一做”学习教育、精心组织开展“不忘初心、牢记使命”主题教育，积极开展</w:t>
      </w:r>
      <w:r>
        <w:rPr>
          <w:rFonts w:hint="eastAsia" w:ascii="宋体" w:hAnsi="??_GB2312" w:eastAsia="宋体" w:cs="宋体"/>
          <w:kern w:val="0"/>
          <w:sz w:val="28"/>
          <w:szCs w:val="28"/>
          <w:lang w:val="zh-CN"/>
        </w:rPr>
        <w:t>“四知四守”促勤廉专题教育活动</w:t>
      </w:r>
      <w:r>
        <w:rPr>
          <w:rFonts w:ascii="宋体" w:hAnsi="??_GB2312" w:eastAsia="宋体" w:cs="宋体"/>
          <w:kern w:val="0"/>
          <w:sz w:val="28"/>
          <w:szCs w:val="28"/>
          <w:lang w:val="zh-CN"/>
        </w:rPr>
        <w:t>。健全信息工作制度，完善台账管理制度，分类设置工作台账，每年进行自查，总结改进。</w:t>
      </w:r>
    </w:p>
    <w:p>
      <w:pPr>
        <w:autoSpaceDE w:val="0"/>
        <w:autoSpaceDN w:val="0"/>
        <w:adjustRightInd w:val="0"/>
        <w:spacing w:line="480" w:lineRule="exact"/>
        <w:ind w:firstLine="573"/>
        <w:outlineLvl w:val="2"/>
        <w:rPr>
          <w:rFonts w:ascii="宋体" w:hAnsi="??_GB2312" w:eastAsia="宋体" w:cs="宋体"/>
          <w:b/>
          <w:bCs/>
          <w:kern w:val="0"/>
          <w:sz w:val="28"/>
          <w:szCs w:val="28"/>
          <w:lang w:val="zh-CN"/>
        </w:rPr>
      </w:pPr>
      <w:bookmarkStart w:id="106" w:name="_Toc22092_WPSOffice_Level2"/>
      <w:bookmarkStart w:id="107" w:name="_Toc2452"/>
      <w:bookmarkStart w:id="108" w:name="_Toc13491"/>
      <w:bookmarkStart w:id="109" w:name="_Toc4813_WPSOffice_Level2"/>
      <w:bookmarkStart w:id="110" w:name="_Toc3266"/>
      <w:r>
        <w:rPr>
          <w:rFonts w:hint="eastAsia" w:ascii="宋体" w:hAnsi="??_GB2312" w:eastAsia="宋体" w:cs="宋体"/>
          <w:b/>
          <w:bCs/>
          <w:kern w:val="0"/>
          <w:sz w:val="28"/>
          <w:szCs w:val="28"/>
          <w:lang w:val="zh-CN"/>
        </w:rPr>
        <w:t>2.推动德育思政工作</w:t>
      </w:r>
      <w:bookmarkEnd w:id="106"/>
      <w:bookmarkEnd w:id="107"/>
      <w:bookmarkEnd w:id="108"/>
      <w:bookmarkEnd w:id="109"/>
      <w:bookmarkEnd w:id="110"/>
    </w:p>
    <w:p>
      <w:pPr>
        <w:autoSpaceDE w:val="0"/>
        <w:autoSpaceDN w:val="0"/>
        <w:adjustRightInd w:val="0"/>
        <w:spacing w:line="480" w:lineRule="exact"/>
        <w:ind w:firstLine="560" w:firstLineChars="200"/>
        <w:rPr>
          <w:rFonts w:ascii="宋体" w:hAnsi="??_GB2312" w:eastAsia="宋体" w:cs="宋体"/>
          <w:kern w:val="0"/>
          <w:sz w:val="28"/>
          <w:szCs w:val="28"/>
          <w:lang w:val="zh-CN"/>
        </w:rPr>
      </w:pPr>
      <w:bookmarkStart w:id="111" w:name="_Toc1371"/>
      <w:bookmarkStart w:id="112" w:name="_Toc6075_WPSOffice_Level2"/>
      <w:bookmarkStart w:id="113" w:name="_Toc23901_WPSOffice_Level2"/>
      <w:bookmarkStart w:id="114" w:name="_Toc2594"/>
      <w:r>
        <w:rPr>
          <w:rFonts w:hint="eastAsia" w:ascii="宋体" w:hAnsi="??_GB2312" w:eastAsia="宋体" w:cs="宋体"/>
          <w:kern w:val="0"/>
          <w:sz w:val="28"/>
          <w:szCs w:val="28"/>
          <w:lang w:val="zh-CN"/>
        </w:rPr>
        <w:t>围绕“红色匠心”党建品牌，</w:t>
      </w:r>
      <w:r>
        <w:rPr>
          <w:rFonts w:hint="eastAsia" w:ascii="宋体" w:hAnsi="??_GB2312" w:eastAsia="宋体" w:cs="宋体"/>
          <w:color w:val="auto"/>
          <w:kern w:val="0"/>
          <w:sz w:val="28"/>
          <w:szCs w:val="28"/>
          <w:lang w:val="zh-CN"/>
        </w:rPr>
        <w:t>加强学校意识形态领域工作建设，</w:t>
      </w:r>
      <w:r>
        <w:rPr>
          <w:rFonts w:ascii="宋体" w:hAnsi="??_GB2312" w:eastAsia="宋体" w:cs="宋体"/>
          <w:color w:val="auto"/>
          <w:kern w:val="0"/>
          <w:sz w:val="28"/>
          <w:szCs w:val="28"/>
          <w:lang w:val="zh-CN"/>
        </w:rPr>
        <w:t>用红色思想引领工匠精神，用红色阵地培育工匠精神，用红色文化浸润工匠精神。</w:t>
      </w:r>
      <w:r>
        <w:rPr>
          <w:rFonts w:hint="eastAsia" w:ascii="宋体" w:hAnsi="??_GB2312" w:eastAsia="宋体" w:cs="宋体"/>
          <w:color w:val="auto"/>
          <w:kern w:val="0"/>
          <w:sz w:val="28"/>
          <w:szCs w:val="28"/>
          <w:lang w:val="zh-CN"/>
        </w:rPr>
        <w:t>以思政课堂为教学主阵地，总</w:t>
      </w:r>
      <w:r>
        <w:rPr>
          <w:rFonts w:hint="eastAsia" w:ascii="宋体" w:hAnsi="??_GB2312" w:eastAsia="宋体" w:cs="宋体"/>
          <w:kern w:val="0"/>
          <w:sz w:val="28"/>
          <w:szCs w:val="28"/>
          <w:lang w:val="zh-CN"/>
        </w:rPr>
        <w:t>支书记参与德育课程教学研讨，由教管处牵头，定时开设思政公开课；</w:t>
      </w:r>
      <w:r>
        <w:rPr>
          <w:rFonts w:ascii="宋体" w:hAnsi="??_GB2312" w:eastAsia="宋体" w:cs="宋体"/>
          <w:kern w:val="0"/>
          <w:sz w:val="28"/>
          <w:szCs w:val="28"/>
          <w:lang w:val="zh-CN"/>
        </w:rPr>
        <w:t>将“学习强国”平台引入到党建阵地，拓展为</w:t>
      </w:r>
      <w:r>
        <w:rPr>
          <w:rFonts w:hint="eastAsia" w:ascii="宋体" w:hAnsi="??_GB2312" w:eastAsia="宋体" w:cs="宋体"/>
          <w:kern w:val="0"/>
          <w:sz w:val="28"/>
          <w:szCs w:val="28"/>
          <w:lang w:val="zh-CN"/>
        </w:rPr>
        <w:t>师生</w:t>
      </w:r>
      <w:r>
        <w:rPr>
          <w:rFonts w:ascii="宋体" w:hAnsi="??_GB2312" w:eastAsia="宋体" w:cs="宋体"/>
          <w:kern w:val="0"/>
          <w:sz w:val="28"/>
          <w:szCs w:val="28"/>
          <w:lang w:val="zh-CN"/>
        </w:rPr>
        <w:t>思想政治教育</w:t>
      </w:r>
      <w:r>
        <w:rPr>
          <w:rFonts w:hint="eastAsia" w:ascii="宋体" w:hAnsi="??_GB2312" w:eastAsia="宋体" w:cs="宋体"/>
          <w:kern w:val="0"/>
          <w:sz w:val="28"/>
          <w:szCs w:val="28"/>
          <w:lang w:val="zh-CN"/>
        </w:rPr>
        <w:t>阵地。在“党示厅”内配备设备，经党总支审核内容，每周组织1到2个班级利用班会课时间进行思想政治教育，同时，通过红色讲座进校园、红色书籍读书会、唱红歌等特色党日活动提高党组织凝聚力、增强党员党性，聘请上海市委党校朱佩明教授来校开设“党史讲坛”。整个讲坛设课程每年6次，每月组织一次，为全体党员及优秀学生代表系统讲授中国共产党历史。</w:t>
      </w:r>
    </w:p>
    <w:p>
      <w:pPr>
        <w:autoSpaceDE w:val="0"/>
        <w:autoSpaceDN w:val="0"/>
        <w:adjustRightInd w:val="0"/>
        <w:spacing w:line="480" w:lineRule="exact"/>
        <w:ind w:firstLine="573"/>
        <w:outlineLvl w:val="2"/>
        <w:rPr>
          <w:rFonts w:ascii="宋体" w:hAnsi="??_GB2312" w:eastAsia="宋体" w:cs="宋体"/>
          <w:b/>
          <w:bCs/>
          <w:kern w:val="0"/>
          <w:sz w:val="28"/>
          <w:szCs w:val="28"/>
          <w:lang w:val="zh-CN"/>
        </w:rPr>
      </w:pPr>
      <w:bookmarkStart w:id="115" w:name="_Toc1321"/>
      <w:r>
        <w:rPr>
          <w:rFonts w:hint="eastAsia" w:ascii="宋体" w:hAnsi="??_GB2312" w:eastAsia="宋体" w:cs="宋体"/>
          <w:b/>
          <w:bCs/>
          <w:kern w:val="0"/>
          <w:sz w:val="28"/>
          <w:szCs w:val="28"/>
          <w:lang w:val="zh-CN"/>
        </w:rPr>
        <w:t>3.加强党的组织建设</w:t>
      </w:r>
      <w:bookmarkEnd w:id="111"/>
      <w:bookmarkEnd w:id="112"/>
      <w:bookmarkEnd w:id="113"/>
      <w:bookmarkEnd w:id="114"/>
      <w:bookmarkEnd w:id="115"/>
    </w:p>
    <w:p>
      <w:pPr>
        <w:spacing w:line="480" w:lineRule="exact"/>
        <w:ind w:firstLine="548" w:firstLineChars="196"/>
        <w:outlineLvl w:val="2"/>
        <w:rPr>
          <w:rFonts w:ascii="宋体" w:hAnsi="??_GB2312" w:eastAsia="宋体" w:cs="宋体"/>
          <w:kern w:val="0"/>
          <w:sz w:val="28"/>
          <w:szCs w:val="28"/>
          <w:lang w:val="zh-CN"/>
        </w:rPr>
      </w:pPr>
      <w:bookmarkStart w:id="116" w:name="_Toc28865"/>
      <w:bookmarkStart w:id="117" w:name="_Toc7196"/>
      <w:bookmarkStart w:id="118" w:name="_Toc20199_WPSOffice_Level3"/>
      <w:bookmarkStart w:id="119" w:name="_Toc1573"/>
      <w:bookmarkStart w:id="120" w:name="_Toc15322_WPSOffice_Level3"/>
      <w:r>
        <w:rPr>
          <w:rFonts w:hint="eastAsia" w:ascii="宋体" w:hAnsi="??_GB2312" w:eastAsia="宋体" w:cs="宋体"/>
          <w:kern w:val="0"/>
          <w:sz w:val="28"/>
          <w:szCs w:val="28"/>
          <w:lang w:val="zh-CN"/>
        </w:rPr>
        <w:t>（1）三联系制度</w:t>
      </w:r>
      <w:bookmarkEnd w:id="116"/>
      <w:bookmarkEnd w:id="117"/>
      <w:bookmarkEnd w:id="118"/>
      <w:bookmarkEnd w:id="119"/>
      <w:bookmarkEnd w:id="120"/>
    </w:p>
    <w:p>
      <w:pPr>
        <w:spacing w:line="480" w:lineRule="exact"/>
        <w:ind w:firstLine="560" w:firstLineChars="200"/>
        <w:rPr>
          <w:rFonts w:ascii="宋体" w:hAnsi="??_GB2312" w:eastAsia="宋体" w:cs="宋体"/>
          <w:kern w:val="0"/>
          <w:sz w:val="28"/>
          <w:szCs w:val="28"/>
          <w:lang w:val="zh-CN"/>
        </w:rPr>
      </w:pPr>
      <w:bookmarkStart w:id="121" w:name="_Toc22092_WPSOffice_Level3"/>
      <w:bookmarkStart w:id="122" w:name="_Toc2248"/>
      <w:bookmarkStart w:id="123" w:name="_Toc7249"/>
      <w:bookmarkStart w:id="124" w:name="_Toc4813_WPSOffice_Level3"/>
      <w:r>
        <w:rPr>
          <w:rFonts w:hint="eastAsia" w:ascii="宋体" w:hAnsi="??_GB2312" w:eastAsia="宋体" w:cs="宋体"/>
          <w:kern w:val="0"/>
          <w:sz w:val="28"/>
          <w:szCs w:val="28"/>
        </w:rPr>
        <w:t>落实“</w:t>
      </w:r>
      <w:r>
        <w:rPr>
          <w:rFonts w:hint="eastAsia" w:ascii="宋体" w:hAnsi="??_GB2312" w:eastAsia="宋体" w:cs="宋体"/>
          <w:kern w:val="0"/>
          <w:sz w:val="28"/>
          <w:szCs w:val="28"/>
          <w:lang w:val="zh-CN"/>
        </w:rPr>
        <w:t>三联系制度——校</w:t>
      </w:r>
      <w:r>
        <w:rPr>
          <w:rFonts w:hint="eastAsia" w:ascii="宋体" w:hAnsi="??_GB2312" w:eastAsia="宋体" w:cs="宋体"/>
          <w:color w:val="auto"/>
          <w:kern w:val="0"/>
          <w:sz w:val="28"/>
          <w:szCs w:val="28"/>
          <w:lang w:val="zh-CN"/>
        </w:rPr>
        <w:t>党总支支委联系系部（各支部）、系部（各支部）联系教研组、党员联系学生</w:t>
      </w:r>
      <w:r>
        <w:rPr>
          <w:rFonts w:hint="eastAsia" w:ascii="宋体" w:hAnsi="??_GB2312" w:eastAsia="宋体" w:cs="宋体"/>
          <w:color w:val="auto"/>
          <w:kern w:val="0"/>
          <w:sz w:val="28"/>
          <w:szCs w:val="28"/>
        </w:rPr>
        <w:t>”，</w:t>
      </w:r>
      <w:r>
        <w:rPr>
          <w:rFonts w:hint="eastAsia" w:ascii="宋体" w:hAnsi="??_GB2312" w:eastAsia="宋体" w:cs="宋体"/>
          <w:color w:val="auto"/>
          <w:kern w:val="0"/>
          <w:sz w:val="28"/>
          <w:szCs w:val="28"/>
          <w:lang w:val="zh-CN"/>
        </w:rPr>
        <w:t>通过定期走访、听取意见、传达精神、反馈信息，</w:t>
      </w:r>
      <w:r>
        <w:rPr>
          <w:rFonts w:hint="eastAsia" w:ascii="宋体" w:hAnsi="??_GB2312" w:eastAsia="宋体" w:cs="宋体"/>
          <w:color w:val="auto"/>
          <w:kern w:val="0"/>
          <w:sz w:val="28"/>
          <w:szCs w:val="28"/>
        </w:rPr>
        <w:t>带领总支支委加强阵地建设，每个支委联系一个系部，每个党员联系一名“待进生”，明</w:t>
      </w:r>
      <w:r>
        <w:rPr>
          <w:rFonts w:hint="eastAsia" w:ascii="宋体" w:hAnsi="??_GB2312" w:eastAsia="宋体" w:cs="宋体"/>
          <w:kern w:val="0"/>
          <w:sz w:val="28"/>
          <w:szCs w:val="28"/>
        </w:rPr>
        <w:t>确责任清单，全面落实“一岗双责”。</w:t>
      </w:r>
      <w:r>
        <w:rPr>
          <w:rFonts w:hint="eastAsia" w:ascii="宋体" w:hAnsi="??_GB2312" w:eastAsia="宋体" w:cs="宋体"/>
          <w:kern w:val="0"/>
          <w:sz w:val="28"/>
          <w:szCs w:val="28"/>
          <w:lang w:val="zh-CN"/>
        </w:rPr>
        <w:t>重点开展“党员联系学生”活动，确保每一位党员都至少对接一名“待进生”，及时关注学生的思想动态与学习情况。</w:t>
      </w:r>
    </w:p>
    <w:p>
      <w:pPr>
        <w:spacing w:line="480" w:lineRule="exact"/>
        <w:ind w:firstLine="548" w:firstLineChars="196"/>
        <w:outlineLvl w:val="2"/>
        <w:rPr>
          <w:rFonts w:ascii="宋体" w:hAnsi="??_GB2312" w:eastAsia="宋体" w:cs="宋体"/>
          <w:kern w:val="0"/>
          <w:sz w:val="28"/>
          <w:szCs w:val="28"/>
          <w:lang w:val="zh-CN"/>
        </w:rPr>
      </w:pPr>
      <w:bookmarkStart w:id="125" w:name="_Toc19274"/>
      <w:r>
        <w:rPr>
          <w:rFonts w:hint="eastAsia" w:ascii="宋体" w:hAnsi="??_GB2312" w:eastAsia="宋体" w:cs="宋体"/>
          <w:kern w:val="0"/>
          <w:sz w:val="28"/>
          <w:szCs w:val="28"/>
          <w:lang w:val="zh-CN"/>
        </w:rPr>
        <w:t>（2）党史讲坛</w:t>
      </w:r>
      <w:bookmarkEnd w:id="121"/>
      <w:bookmarkEnd w:id="122"/>
      <w:bookmarkEnd w:id="123"/>
      <w:bookmarkEnd w:id="124"/>
      <w:bookmarkEnd w:id="125"/>
    </w:p>
    <w:p>
      <w:pPr>
        <w:spacing w:line="480" w:lineRule="exact"/>
        <w:ind w:firstLine="560" w:firstLineChars="200"/>
        <w:rPr>
          <w:rFonts w:ascii="宋体" w:hAnsi="??_GB2312" w:eastAsia="宋体" w:cs="宋体"/>
          <w:kern w:val="0"/>
          <w:sz w:val="28"/>
          <w:szCs w:val="28"/>
        </w:rPr>
      </w:pPr>
      <w:r>
        <w:rPr>
          <w:rFonts w:hint="eastAsia" w:ascii="宋体" w:hAnsi="??_GB2312" w:eastAsia="宋体" w:cs="宋体"/>
          <w:kern w:val="0"/>
          <w:sz w:val="28"/>
          <w:szCs w:val="28"/>
        </w:rPr>
        <w:t>通过红色讲座进校园、红色书籍读书会、唱红歌等特色党日活动提高党组织凝聚力、增强党员党性。聘请上海市委党校朱佩明教授来校开设“党史讲坛”。整个讲坛设课程每年6次，每月组织一次，为全体党员及优秀学生代表系统讲授中国共产党历史。</w:t>
      </w:r>
    </w:p>
    <w:p>
      <w:pPr>
        <w:spacing w:line="480" w:lineRule="exact"/>
        <w:ind w:firstLine="560" w:firstLineChars="200"/>
        <w:rPr>
          <w:rFonts w:ascii="宋体" w:hAnsi="??_GB2312" w:eastAsia="宋体" w:cs="宋体"/>
          <w:kern w:val="0"/>
          <w:sz w:val="28"/>
          <w:szCs w:val="28"/>
          <w:lang w:val="zh-CN"/>
        </w:rPr>
      </w:pPr>
      <w:r>
        <w:rPr>
          <w:rFonts w:hint="eastAsia" w:ascii="宋体" w:hAnsi="??_GB2312" w:eastAsia="宋体" w:cs="宋体"/>
          <w:kern w:val="0"/>
          <w:sz w:val="28"/>
          <w:szCs w:val="28"/>
        </w:rPr>
        <w:t>（3）</w:t>
      </w:r>
      <w:r>
        <w:rPr>
          <w:rFonts w:hint="eastAsia" w:ascii="宋体" w:hAnsi="??_GB2312" w:eastAsia="宋体" w:cs="宋体"/>
          <w:kern w:val="0"/>
          <w:sz w:val="28"/>
          <w:szCs w:val="28"/>
          <w:lang w:val="zh-CN"/>
        </w:rPr>
        <w:t>开辟党风廉政四路径：</w:t>
      </w:r>
    </w:p>
    <w:p>
      <w:pPr>
        <w:spacing w:line="480" w:lineRule="exact"/>
        <w:ind w:firstLine="560" w:firstLineChars="200"/>
        <w:rPr>
          <w:rFonts w:ascii="宋体" w:hAnsi="??_GB2312" w:eastAsia="宋体" w:cs="宋体"/>
          <w:kern w:val="0"/>
          <w:sz w:val="28"/>
          <w:szCs w:val="28"/>
        </w:rPr>
      </w:pPr>
      <w:r>
        <w:rPr>
          <w:rFonts w:hint="eastAsia" w:ascii="宋体" w:hAnsi="??_GB2312" w:eastAsia="宋体" w:cs="宋体"/>
          <w:kern w:val="0"/>
          <w:sz w:val="28"/>
          <w:szCs w:val="28"/>
          <w:lang w:val="zh-CN"/>
        </w:rPr>
        <w:t>一是完善中层干部任前“廉政”谈话制度，“三重一大事项”决策制度等，以制度保廉；二是以“四知四守”促勤廉专题教育为主线，组织党员教师学习廉政知识、行风建设等，以教育促廉；三是畅通监督渠道，严格实行信息公开，以群众督廉；四是开展廉洁文化进校园活动，通过教职工大会、国旗下讲话、廉洁宣传上墙等形式，以环境润廉。</w:t>
      </w:r>
    </w:p>
    <w:p>
      <w:pPr>
        <w:autoSpaceDE w:val="0"/>
        <w:autoSpaceDN w:val="0"/>
        <w:adjustRightInd w:val="0"/>
        <w:spacing w:line="480" w:lineRule="exact"/>
        <w:ind w:firstLine="573"/>
        <w:outlineLvl w:val="2"/>
        <w:rPr>
          <w:rFonts w:ascii="宋体" w:hAnsi="??_GB2312" w:eastAsia="宋体" w:cs="宋体"/>
          <w:b/>
          <w:bCs/>
          <w:kern w:val="0"/>
          <w:sz w:val="28"/>
          <w:szCs w:val="28"/>
          <w:lang w:val="zh-CN"/>
        </w:rPr>
      </w:pPr>
      <w:bookmarkStart w:id="126" w:name="_Toc20500_WPSOffice_Level2"/>
      <w:bookmarkStart w:id="127" w:name="_Toc29319"/>
      <w:bookmarkStart w:id="128" w:name="_Toc20348"/>
      <w:bookmarkStart w:id="129" w:name="_Toc3752"/>
      <w:bookmarkStart w:id="130" w:name="_Toc9933_WPSOffice_Level2"/>
      <w:r>
        <w:rPr>
          <w:rFonts w:hint="eastAsia" w:ascii="宋体" w:hAnsi="??_GB2312" w:eastAsia="宋体" w:cs="宋体"/>
          <w:b/>
          <w:bCs/>
          <w:kern w:val="0"/>
          <w:sz w:val="28"/>
          <w:szCs w:val="28"/>
          <w:lang w:val="zh-CN"/>
        </w:rPr>
        <w:t>4.发挥政治核心作用</w:t>
      </w:r>
      <w:bookmarkEnd w:id="126"/>
      <w:bookmarkEnd w:id="127"/>
      <w:bookmarkEnd w:id="128"/>
      <w:bookmarkEnd w:id="129"/>
      <w:bookmarkEnd w:id="130"/>
    </w:p>
    <w:p>
      <w:pPr>
        <w:autoSpaceDE w:val="0"/>
        <w:autoSpaceDN w:val="0"/>
        <w:adjustRightInd w:val="0"/>
        <w:spacing w:line="480" w:lineRule="exact"/>
        <w:ind w:firstLine="573"/>
        <w:rPr>
          <w:rFonts w:ascii="宋体" w:hAnsi="??_GB2312" w:eastAsia="宋体" w:cs="宋体"/>
          <w:kern w:val="0"/>
          <w:sz w:val="28"/>
          <w:szCs w:val="28"/>
        </w:rPr>
      </w:pPr>
      <w:r>
        <w:rPr>
          <w:rFonts w:hint="eastAsia" w:ascii="宋体" w:hAnsi="??_GB2312" w:eastAsia="宋体" w:cs="宋体"/>
          <w:kern w:val="0"/>
          <w:sz w:val="28"/>
          <w:szCs w:val="28"/>
        </w:rPr>
        <w:t>充分发挥党员教师的先锋模范作用，响应市委要求，积极参与新时代文明实践志愿活动，与花桥聚福社区结对，参与社区夜查、“三三一整治”、人口普查宣传；成立党员安全督导团，定时定点开展主题党日，对校园安全隐患进行排查，对青少年不文明现象进行监督，对未戴头盔的走读生进行教育；在疫情严峻的春节期间，发动党员教师，在做好自身防护的前提下，参与全社会的疫情防控工作，43名党员克服困难，积极融入花桥社区网格之中，每天三班值守在小区大门，与社区工作人员、小区物业人员一起开展疫情防控宣传、小区进门把控等工作，共计33天，四百余人次。</w:t>
      </w:r>
    </w:p>
    <w:p>
      <w:pPr>
        <w:autoSpaceDE w:val="0"/>
        <w:autoSpaceDN w:val="0"/>
        <w:adjustRightInd w:val="0"/>
        <w:spacing w:line="480" w:lineRule="exact"/>
        <w:ind w:firstLine="570"/>
        <w:outlineLvl w:val="0"/>
        <w:rPr>
          <w:rFonts w:ascii="??_GB2312" w:hAnsi="??_GB2312" w:eastAsia="宋体" w:cs="??_GB2312"/>
          <w:b/>
          <w:bCs/>
          <w:kern w:val="0"/>
          <w:sz w:val="28"/>
          <w:szCs w:val="28"/>
        </w:rPr>
      </w:pPr>
      <w:bookmarkStart w:id="131" w:name="_Toc22394"/>
      <w:bookmarkStart w:id="132" w:name="_Toc22092_WPSOffice_Level1"/>
      <w:bookmarkStart w:id="133" w:name="_Toc4813_WPSOffice_Level1"/>
      <w:bookmarkStart w:id="134" w:name="_Toc1074"/>
      <w:bookmarkStart w:id="135" w:name="_Toc32374"/>
      <w:r>
        <w:rPr>
          <w:rFonts w:hint="eastAsia" w:ascii="宋体" w:hAnsi="??_GB2312" w:eastAsia="宋体" w:cs="宋体"/>
          <w:b/>
          <w:bCs/>
          <w:kern w:val="0"/>
          <w:sz w:val="28"/>
          <w:szCs w:val="28"/>
          <w:lang w:val="zh-CN"/>
        </w:rPr>
        <w:t>四、校企合作</w:t>
      </w:r>
      <w:bookmarkEnd w:id="131"/>
      <w:bookmarkEnd w:id="132"/>
      <w:bookmarkEnd w:id="133"/>
      <w:bookmarkEnd w:id="134"/>
      <w:bookmarkEnd w:id="135"/>
    </w:p>
    <w:p>
      <w:pPr>
        <w:autoSpaceDE w:val="0"/>
        <w:autoSpaceDN w:val="0"/>
        <w:adjustRightInd w:val="0"/>
        <w:spacing w:line="480" w:lineRule="exact"/>
        <w:ind w:firstLine="570"/>
        <w:outlineLvl w:val="1"/>
        <w:rPr>
          <w:rFonts w:ascii="宋体" w:hAnsi="??_GB2312" w:eastAsia="宋体" w:cs="宋体"/>
          <w:b/>
          <w:kern w:val="0"/>
          <w:sz w:val="28"/>
          <w:szCs w:val="28"/>
          <w:lang w:val="zh-CN"/>
        </w:rPr>
      </w:pPr>
      <w:bookmarkStart w:id="136" w:name="_Toc1124_WPSOffice_Level2"/>
      <w:bookmarkStart w:id="137" w:name="_Toc3437"/>
      <w:bookmarkStart w:id="138" w:name="_Toc16389"/>
      <w:bookmarkStart w:id="139" w:name="_Toc11678"/>
      <w:bookmarkStart w:id="140" w:name="_Toc3832_WPSOffice_Level2"/>
      <w:r>
        <w:rPr>
          <w:rFonts w:hint="eastAsia" w:ascii="宋体" w:hAnsi="??_GB2312" w:eastAsia="宋体" w:cs="宋体"/>
          <w:b/>
          <w:kern w:val="0"/>
          <w:sz w:val="28"/>
          <w:szCs w:val="28"/>
        </w:rPr>
        <w:t>4</w:t>
      </w:r>
      <w:r>
        <w:rPr>
          <w:rFonts w:hint="eastAsia" w:ascii="宋体" w:hAnsi="??_GB2312" w:eastAsia="宋体" w:cs="宋体"/>
          <w:b/>
          <w:kern w:val="0"/>
          <w:sz w:val="28"/>
          <w:szCs w:val="28"/>
          <w:lang w:val="zh-CN"/>
        </w:rPr>
        <w:t>.1</w:t>
      </w:r>
      <w:r>
        <w:rPr>
          <w:rFonts w:hint="eastAsia" w:ascii="宋体" w:hAnsi="??_GB2312" w:eastAsia="宋体" w:cs="宋体"/>
          <w:b/>
          <w:kern w:val="0"/>
          <w:sz w:val="28"/>
          <w:szCs w:val="28"/>
        </w:rPr>
        <w:t xml:space="preserve"> </w:t>
      </w:r>
      <w:r>
        <w:rPr>
          <w:rFonts w:hint="eastAsia" w:ascii="宋体" w:hAnsi="??_GB2312" w:eastAsia="宋体" w:cs="宋体"/>
          <w:b/>
          <w:kern w:val="0"/>
          <w:sz w:val="28"/>
          <w:szCs w:val="28"/>
          <w:lang w:val="zh-CN"/>
        </w:rPr>
        <w:t>校企合作开展情况和效果</w:t>
      </w:r>
      <w:bookmarkEnd w:id="136"/>
      <w:bookmarkEnd w:id="137"/>
      <w:bookmarkEnd w:id="138"/>
      <w:bookmarkEnd w:id="139"/>
      <w:bookmarkEnd w:id="140"/>
    </w:p>
    <w:p>
      <w:pPr>
        <w:autoSpaceDE w:val="0"/>
        <w:autoSpaceDN w:val="0"/>
        <w:adjustRightInd w:val="0"/>
        <w:spacing w:line="480" w:lineRule="exact"/>
        <w:ind w:firstLine="570"/>
        <w:rPr>
          <w:rFonts w:ascii="宋体" w:hAnsi="??_GB2312" w:eastAsia="宋体" w:cs="宋体"/>
          <w:b/>
          <w:kern w:val="0"/>
          <w:sz w:val="28"/>
          <w:szCs w:val="28"/>
          <w:lang w:val="zh-CN"/>
        </w:rPr>
      </w:pPr>
      <w:r>
        <w:rPr>
          <w:rFonts w:hint="eastAsia" w:ascii="宋体" w:hAnsi="??_GB2312" w:eastAsia="宋体" w:cs="宋体"/>
          <w:kern w:val="0"/>
          <w:sz w:val="28"/>
          <w:szCs w:val="28"/>
          <w:lang w:val="zh-CN"/>
        </w:rPr>
        <w:t>学校组织安排了73名专业教师、分二批次进企业实践学习，教师得到了锻炼和提高，也受到了企业的一致好评。此外，学校还与昆山京东尚信贸易有限公司、昆山花桥中城假日酒店、昆山美源金属科技限公司等</w:t>
      </w:r>
      <w:r>
        <w:rPr>
          <w:rFonts w:ascii="??_GB2312" w:hAnsi="??_GB2312" w:eastAsia="宋体" w:cs="??_GB2312"/>
          <w:kern w:val="0"/>
          <w:sz w:val="28"/>
          <w:szCs w:val="28"/>
        </w:rPr>
        <w:t>51</w:t>
      </w:r>
      <w:r>
        <w:rPr>
          <w:rFonts w:hint="eastAsia" w:ascii="宋体" w:hAnsi="??_GB2312" w:eastAsia="宋体" w:cs="宋体"/>
          <w:kern w:val="0"/>
          <w:sz w:val="28"/>
          <w:szCs w:val="28"/>
          <w:lang w:val="zh-CN"/>
        </w:rPr>
        <w:t>家公司达成了校企合作共建实习实训基地的协议。</w:t>
      </w:r>
      <w:bookmarkStart w:id="141" w:name="_Toc26414_WPSOffice_Level2"/>
      <w:bookmarkStart w:id="142" w:name="_Toc2621"/>
      <w:bookmarkStart w:id="143" w:name="_Toc13864_WPSOffice_Level2"/>
    </w:p>
    <w:p>
      <w:pPr>
        <w:autoSpaceDE w:val="0"/>
        <w:autoSpaceDN w:val="0"/>
        <w:adjustRightInd w:val="0"/>
        <w:spacing w:line="480" w:lineRule="exact"/>
        <w:ind w:firstLine="570"/>
        <w:outlineLvl w:val="1"/>
        <w:rPr>
          <w:rFonts w:ascii="宋体" w:hAnsi="??_GB2312" w:eastAsia="宋体" w:cs="宋体"/>
          <w:b/>
          <w:kern w:val="0"/>
          <w:sz w:val="28"/>
          <w:szCs w:val="28"/>
          <w:lang w:val="zh-CN"/>
        </w:rPr>
      </w:pPr>
      <w:bookmarkStart w:id="144" w:name="_Toc30823"/>
      <w:bookmarkStart w:id="145" w:name="_Toc5896"/>
      <w:r>
        <w:rPr>
          <w:rFonts w:hint="eastAsia" w:ascii="宋体" w:hAnsi="??_GB2312" w:eastAsia="宋体" w:cs="宋体"/>
          <w:b/>
          <w:kern w:val="0"/>
          <w:sz w:val="28"/>
          <w:szCs w:val="28"/>
        </w:rPr>
        <w:t>4</w:t>
      </w:r>
      <w:r>
        <w:rPr>
          <w:rFonts w:hint="eastAsia" w:ascii="宋体" w:hAnsi="??_GB2312" w:eastAsia="宋体" w:cs="宋体"/>
          <w:b/>
          <w:kern w:val="0"/>
          <w:sz w:val="28"/>
          <w:szCs w:val="28"/>
          <w:lang w:val="zh-CN"/>
        </w:rPr>
        <w:t>.</w:t>
      </w:r>
      <w:r>
        <w:rPr>
          <w:rFonts w:hint="eastAsia" w:ascii="宋体" w:hAnsi="??_GB2312" w:eastAsia="宋体" w:cs="宋体"/>
          <w:b/>
          <w:kern w:val="0"/>
          <w:sz w:val="28"/>
          <w:szCs w:val="28"/>
        </w:rPr>
        <w:t xml:space="preserve">2 </w:t>
      </w:r>
      <w:r>
        <w:rPr>
          <w:rFonts w:hint="eastAsia" w:ascii="宋体" w:hAnsi="??_GB2312" w:eastAsia="宋体" w:cs="宋体"/>
          <w:b/>
          <w:kern w:val="0"/>
          <w:sz w:val="28"/>
          <w:szCs w:val="28"/>
          <w:lang w:val="zh-CN"/>
        </w:rPr>
        <w:t>学生实习情况</w:t>
      </w:r>
      <w:bookmarkEnd w:id="141"/>
      <w:bookmarkEnd w:id="142"/>
      <w:bookmarkEnd w:id="143"/>
      <w:bookmarkEnd w:id="144"/>
      <w:bookmarkEnd w:id="145"/>
    </w:p>
    <w:p>
      <w:pPr>
        <w:autoSpaceDE w:val="0"/>
        <w:autoSpaceDN w:val="0"/>
        <w:adjustRightInd w:val="0"/>
        <w:spacing w:line="480" w:lineRule="exact"/>
        <w:ind w:firstLine="570"/>
        <w:rPr>
          <w:rFonts w:ascii="宋体" w:hAnsi="??_GB2312" w:eastAsia="宋体" w:cs="宋体"/>
          <w:b/>
          <w:kern w:val="0"/>
          <w:sz w:val="28"/>
          <w:szCs w:val="28"/>
          <w:lang w:val="zh-CN"/>
        </w:rPr>
      </w:pPr>
      <w:r>
        <w:rPr>
          <w:rFonts w:hint="eastAsia" w:ascii="宋体" w:hAnsi="??_GB2312" w:eastAsia="宋体" w:cs="宋体"/>
          <w:kern w:val="0"/>
          <w:sz w:val="28"/>
          <w:szCs w:val="28"/>
          <w:lang w:val="zh-CN"/>
        </w:rPr>
        <w:t>学校建有12715平米的实训大楼一幢，设有“物流商务、动漫设计、金融事务、服务外包、旅游管理、电子电工、展示展览”等7个实训基地，共计56个实训室，总投资逾4099万元。由物流实训中心及电子商务实训中心组成的“物流商务实训基地”是江苏省高水平示范性实训基地，总投资共630万元，面积3754平方米，包括电子商务运营实训室、电子商务学生创业实训室、电子商务图像处理实训室、电子商务智慧实训室、运输作业实训室。学校积极开展创新工作，不断改善实习实训条件，在2020年学校“物流商务实训基地”成功创建成为江苏省职业学校现代化实训基地。保证学生实训有足够岗位外，同时保证学生充足的实训时间。另外，学生到皇冠假日酒店、京东物流基地上岗实习</w:t>
      </w:r>
      <w:r>
        <w:rPr>
          <w:rFonts w:hint="eastAsia" w:ascii="宋体" w:hAnsi="??_GB2312" w:eastAsia="宋体" w:cs="宋体"/>
          <w:kern w:val="0"/>
          <w:sz w:val="28"/>
          <w:szCs w:val="28"/>
        </w:rPr>
        <w:t>,</w:t>
      </w:r>
      <w:r>
        <w:rPr>
          <w:rFonts w:hint="eastAsia" w:ascii="宋体" w:hAnsi="??_GB2312" w:eastAsia="宋体" w:cs="宋体"/>
          <w:kern w:val="0"/>
          <w:sz w:val="28"/>
          <w:szCs w:val="28"/>
          <w:lang w:val="zh-CN"/>
        </w:rPr>
        <w:t>毕业班学生在2020年4月至6月间有622人参加为期3个月顶岗实习。2020年10月至11月，19级电子商务和物流管理专业两个班58人参加为期1个月的跟岗实习。</w:t>
      </w:r>
    </w:p>
    <w:p>
      <w:pPr>
        <w:autoSpaceDE w:val="0"/>
        <w:autoSpaceDN w:val="0"/>
        <w:adjustRightInd w:val="0"/>
        <w:spacing w:line="480" w:lineRule="exact"/>
        <w:ind w:firstLine="570"/>
        <w:outlineLvl w:val="0"/>
        <w:rPr>
          <w:rFonts w:ascii="宋体" w:hAnsi="??_GB2312" w:eastAsia="宋体" w:cs="宋体"/>
          <w:b/>
          <w:bCs/>
          <w:kern w:val="0"/>
          <w:sz w:val="28"/>
          <w:szCs w:val="28"/>
          <w:lang w:val="zh-CN"/>
        </w:rPr>
      </w:pPr>
      <w:bookmarkStart w:id="146" w:name="_Toc20500_WPSOffice_Level1"/>
      <w:bookmarkStart w:id="147" w:name="_Toc10200"/>
      <w:bookmarkStart w:id="148" w:name="_Toc10709"/>
      <w:bookmarkStart w:id="149" w:name="_Toc14267"/>
      <w:bookmarkStart w:id="150" w:name="_Toc9933_WPSOffice_Level1"/>
      <w:r>
        <w:rPr>
          <w:rFonts w:hint="eastAsia" w:ascii="宋体" w:hAnsi="??_GB2312" w:eastAsia="宋体" w:cs="宋体"/>
          <w:b/>
          <w:bCs/>
          <w:kern w:val="0"/>
          <w:sz w:val="28"/>
          <w:szCs w:val="28"/>
          <w:lang w:val="zh-CN"/>
        </w:rPr>
        <w:t>五、社会贡献</w:t>
      </w:r>
      <w:bookmarkEnd w:id="146"/>
      <w:bookmarkEnd w:id="147"/>
      <w:bookmarkEnd w:id="148"/>
      <w:bookmarkEnd w:id="149"/>
      <w:bookmarkEnd w:id="150"/>
    </w:p>
    <w:p>
      <w:pPr>
        <w:autoSpaceDE w:val="0"/>
        <w:autoSpaceDN w:val="0"/>
        <w:adjustRightInd w:val="0"/>
        <w:spacing w:line="480" w:lineRule="exact"/>
        <w:ind w:firstLine="570"/>
        <w:jc w:val="left"/>
        <w:outlineLvl w:val="1"/>
        <w:rPr>
          <w:rFonts w:ascii="??_GB2312" w:hAnsi="??_GB2312" w:eastAsia="宋体" w:cs="??_GB2312"/>
          <w:b/>
          <w:bCs/>
          <w:kern w:val="0"/>
          <w:sz w:val="28"/>
          <w:szCs w:val="28"/>
        </w:rPr>
      </w:pPr>
      <w:bookmarkStart w:id="151" w:name="_Toc27487"/>
      <w:r>
        <w:rPr>
          <w:rFonts w:hint="eastAsia" w:ascii="??_GB2312" w:hAnsi="??_GB2312" w:eastAsia="宋体" w:cs="??_GB2312"/>
          <w:b/>
          <w:bCs/>
          <w:kern w:val="0"/>
          <w:sz w:val="28"/>
          <w:szCs w:val="28"/>
        </w:rPr>
        <w:t>5.1 人才培养</w:t>
      </w:r>
      <w:bookmarkEnd w:id="151"/>
    </w:p>
    <w:p>
      <w:pPr>
        <w:autoSpaceDE w:val="0"/>
        <w:autoSpaceDN w:val="0"/>
        <w:adjustRightInd w:val="0"/>
        <w:spacing w:line="360" w:lineRule="exact"/>
        <w:ind w:firstLine="570"/>
        <w:jc w:val="center"/>
        <w:outlineLvl w:val="1"/>
        <w:rPr>
          <w:rFonts w:ascii="??_GB2312" w:hAnsi="??_GB2312" w:eastAsia="宋体" w:cs="??_GB2312"/>
          <w:b/>
          <w:bCs/>
          <w:kern w:val="0"/>
          <w:sz w:val="28"/>
          <w:szCs w:val="28"/>
        </w:rPr>
      </w:pPr>
      <w:bookmarkStart w:id="152" w:name="_Toc17331"/>
      <w:r>
        <w:rPr>
          <w:rFonts w:hint="eastAsia" w:ascii="宋体" w:hAnsi="??_GB2312" w:eastAsia="宋体" w:cs="宋体"/>
          <w:kern w:val="0"/>
          <w:sz w:val="28"/>
          <w:szCs w:val="28"/>
          <w:lang w:val="zh-CN"/>
        </w:rPr>
        <w:t>表</w:t>
      </w:r>
      <w:r>
        <w:rPr>
          <w:rFonts w:hint="eastAsia" w:ascii="宋体" w:hAnsi="??_GB2312" w:eastAsia="宋体" w:cs="宋体"/>
          <w:kern w:val="0"/>
          <w:sz w:val="28"/>
          <w:szCs w:val="28"/>
        </w:rPr>
        <w:t>10</w:t>
      </w:r>
      <w:r>
        <w:rPr>
          <w:rFonts w:hint="eastAsia" w:ascii="宋体" w:hAnsi="??_GB2312" w:eastAsia="宋体" w:cs="宋体"/>
          <w:kern w:val="0"/>
          <w:sz w:val="28"/>
          <w:szCs w:val="28"/>
          <w:lang w:val="zh-CN"/>
        </w:rPr>
        <w:t>：学生参加竞赛获奖情况</w:t>
      </w:r>
      <w:bookmarkEnd w:id="152"/>
    </w:p>
    <w:tbl>
      <w:tblPr>
        <w:tblStyle w:val="6"/>
        <w:tblpPr w:leftFromText="180" w:rightFromText="180" w:vertAnchor="text" w:horzAnchor="page" w:tblpX="1577" w:tblpY="482"/>
        <w:tblOverlap w:val="never"/>
        <w:tblW w:w="9322" w:type="dxa"/>
        <w:tblInd w:w="0" w:type="dxa"/>
        <w:tblLayout w:type="fixed"/>
        <w:tblCellMar>
          <w:top w:w="0" w:type="dxa"/>
          <w:left w:w="108" w:type="dxa"/>
          <w:bottom w:w="0" w:type="dxa"/>
          <w:right w:w="108" w:type="dxa"/>
        </w:tblCellMar>
      </w:tblPr>
      <w:tblGrid>
        <w:gridCol w:w="720"/>
        <w:gridCol w:w="2055"/>
        <w:gridCol w:w="780"/>
        <w:gridCol w:w="1170"/>
        <w:gridCol w:w="1029"/>
        <w:gridCol w:w="1506"/>
        <w:gridCol w:w="1155"/>
        <w:gridCol w:w="907"/>
      </w:tblGrid>
      <w:tr>
        <w:tblPrEx>
          <w:tblCellMar>
            <w:top w:w="0" w:type="dxa"/>
            <w:left w:w="108" w:type="dxa"/>
            <w:bottom w:w="0" w:type="dxa"/>
            <w:right w:w="108" w:type="dxa"/>
          </w:tblCellMar>
        </w:tblPrEx>
        <w:trPr>
          <w:trHeight w:val="4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bookmarkStart w:id="153" w:name="_Toc10776"/>
            <w:bookmarkStart w:id="154" w:name="_Toc12239_WPSOffice_Level2"/>
            <w:bookmarkStart w:id="155" w:name="_Toc27226_WPSOffice_Level2"/>
            <w:bookmarkStart w:id="156" w:name="_Toc27929"/>
            <w:r>
              <w:rPr>
                <w:rFonts w:hint="eastAsia" w:ascii="宋体" w:hAnsi="宋体" w:eastAsia="宋体" w:cs="宋体"/>
                <w:b/>
                <w:bCs/>
                <w:kern w:val="0"/>
                <w:sz w:val="20"/>
                <w:szCs w:val="20"/>
              </w:rPr>
              <w:t>参赛类别</w:t>
            </w:r>
          </w:p>
        </w:tc>
        <w:tc>
          <w:tcPr>
            <w:tcW w:w="205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竞赛项目</w:t>
            </w:r>
          </w:p>
        </w:tc>
        <w:tc>
          <w:tcPr>
            <w:tcW w:w="7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组别</w:t>
            </w:r>
          </w:p>
        </w:tc>
        <w:tc>
          <w:tcPr>
            <w:tcW w:w="117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姓名</w:t>
            </w:r>
          </w:p>
        </w:tc>
        <w:tc>
          <w:tcPr>
            <w:tcW w:w="10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指导教师</w:t>
            </w:r>
          </w:p>
        </w:tc>
        <w:tc>
          <w:tcPr>
            <w:tcW w:w="150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苏州市赛获奖</w:t>
            </w:r>
          </w:p>
        </w:tc>
        <w:tc>
          <w:tcPr>
            <w:tcW w:w="115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省赛获奖</w:t>
            </w:r>
          </w:p>
        </w:tc>
        <w:tc>
          <w:tcPr>
            <w:tcW w:w="90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bCs/>
                <w:kern w:val="0"/>
                <w:sz w:val="20"/>
                <w:szCs w:val="20"/>
              </w:rPr>
            </w:pPr>
            <w:r>
              <w:rPr>
                <w:rFonts w:hint="eastAsia" w:ascii="宋体" w:hAnsi="宋体" w:eastAsia="宋体" w:cs="宋体"/>
                <w:b/>
                <w:bCs/>
                <w:kern w:val="0"/>
                <w:sz w:val="20"/>
                <w:szCs w:val="20"/>
              </w:rPr>
              <w:t>备注</w:t>
            </w:r>
          </w:p>
        </w:tc>
      </w:tr>
      <w:tr>
        <w:tblPrEx>
          <w:tblCellMar>
            <w:top w:w="0" w:type="dxa"/>
            <w:left w:w="108" w:type="dxa"/>
            <w:bottom w:w="0" w:type="dxa"/>
            <w:right w:w="108" w:type="dxa"/>
          </w:tblCellMar>
        </w:tblPrEx>
        <w:trPr>
          <w:trHeight w:val="625" w:hRule="atLeast"/>
        </w:trPr>
        <w:tc>
          <w:tcPr>
            <w:tcW w:w="720" w:type="dxa"/>
            <w:vMerge w:val="restart"/>
            <w:tcBorders>
              <w:top w:val="nil"/>
              <w:left w:val="single" w:color="auto" w:sz="4" w:space="0"/>
              <w:bottom w:val="nil"/>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信息技术类</w:t>
            </w: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计算机辅助设计（CAD）</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程勋伟</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刘永刚</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二等奖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700" w:hRule="atLeast"/>
        </w:trPr>
        <w:tc>
          <w:tcPr>
            <w:tcW w:w="7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计算机辅助设计（CAD）</w:t>
            </w:r>
          </w:p>
        </w:tc>
        <w:tc>
          <w:tcPr>
            <w:tcW w:w="7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郭金辉</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二等奖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640" w:hRule="atLeast"/>
        </w:trPr>
        <w:tc>
          <w:tcPr>
            <w:tcW w:w="7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计算机辅助设计（CAD）</w:t>
            </w:r>
          </w:p>
        </w:tc>
        <w:tc>
          <w:tcPr>
            <w:tcW w:w="7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刘永刚</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580" w:hRule="atLeast"/>
        </w:trPr>
        <w:tc>
          <w:tcPr>
            <w:tcW w:w="7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数字影音后期制作技术</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陈郑宇</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喻晗</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一等奖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进入省赛</w:t>
            </w:r>
          </w:p>
        </w:tc>
      </w:tr>
      <w:tr>
        <w:tblPrEx>
          <w:tblCellMar>
            <w:top w:w="0" w:type="dxa"/>
            <w:left w:w="108" w:type="dxa"/>
            <w:bottom w:w="0" w:type="dxa"/>
            <w:right w:w="108" w:type="dxa"/>
          </w:tblCellMar>
        </w:tblPrEx>
        <w:trPr>
          <w:trHeight w:val="435" w:hRule="atLeast"/>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财经商贸类</w:t>
            </w: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会计技能</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姜蓓蕾</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42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会计技能</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赵文迪</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电子商务运营技能</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陆奕、顾雯娟</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现代物流综合作业</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李扬</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杨广晔</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一等奖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进入省赛</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现代物流综合作业</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金海洋</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王琴</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二等奖</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进入省赛</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现代物流综合作业</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张旗玉</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鲍静琳</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现代物流综合作业</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王琴</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二等奖</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进入省赛</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现代物流综合作业</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王燕红</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735"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旅游服务类</w:t>
            </w: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导游</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张浩宇</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汤文菲</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480" w:hRule="atLeast"/>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文化艺术类</w:t>
            </w: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平面艺术设计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唐玉姣</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王志达</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平面艺术设计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庞季欣</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顾逸超</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405"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平面艺术设计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陆毅</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盛佳晔</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环境艺术设计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王紫妍</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姚焕</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环境艺术设计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龚晨璐</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尹天依</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48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平面艺术设计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教师</w:t>
            </w: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顾逸超</w:t>
            </w: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bCs/>
                <w:kern w:val="0"/>
                <w:sz w:val="22"/>
              </w:rPr>
            </w:pPr>
            <w:r>
              <w:rPr>
                <w:rFonts w:hint="eastAsia" w:ascii="宋体" w:hAnsi="宋体" w:eastAsia="宋体" w:cs="宋体"/>
                <w:b/>
                <w:bCs/>
                <w:kern w:val="0"/>
                <w:sz w:val="22"/>
              </w:rPr>
              <w:t>　</w:t>
            </w: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bCs/>
                <w:kern w:val="0"/>
                <w:sz w:val="22"/>
              </w:rPr>
            </w:pPr>
            <w:r>
              <w:rPr>
                <w:rFonts w:hint="eastAsia" w:ascii="宋体" w:hAnsi="宋体" w:eastAsia="宋体" w:cs="宋体"/>
                <w:b/>
                <w:bCs/>
                <w:kern w:val="0"/>
                <w:sz w:val="22"/>
              </w:rPr>
              <w:t>　</w:t>
            </w:r>
          </w:p>
        </w:tc>
      </w:tr>
      <w:tr>
        <w:tblPrEx>
          <w:tblCellMar>
            <w:top w:w="0" w:type="dxa"/>
            <w:left w:w="108" w:type="dxa"/>
            <w:bottom w:w="0" w:type="dxa"/>
            <w:right w:w="108" w:type="dxa"/>
          </w:tblCellMar>
        </w:tblPrEx>
        <w:trPr>
          <w:trHeight w:val="360" w:hRule="atLeast"/>
        </w:trPr>
        <w:tc>
          <w:tcPr>
            <w:tcW w:w="7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nil"/>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r>
              <w:rPr>
                <w:rFonts w:hint="eastAsia" w:ascii="宋体" w:hAnsi="宋体" w:eastAsia="宋体" w:cs="宋体"/>
                <w:kern w:val="0"/>
                <w:sz w:val="20"/>
                <w:szCs w:val="20"/>
              </w:rPr>
              <w:t>声乐表演</w:t>
            </w:r>
          </w:p>
        </w:tc>
        <w:tc>
          <w:tcPr>
            <w:tcW w:w="780" w:type="dxa"/>
            <w:tcBorders>
              <w:top w:val="nil"/>
              <w:left w:val="nil"/>
              <w:bottom w:val="nil"/>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中职</w:t>
            </w:r>
          </w:p>
        </w:tc>
        <w:tc>
          <w:tcPr>
            <w:tcW w:w="1170" w:type="dxa"/>
            <w:tcBorders>
              <w:top w:val="nil"/>
              <w:left w:val="nil"/>
              <w:bottom w:val="nil"/>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李化栋</w:t>
            </w:r>
          </w:p>
        </w:tc>
        <w:tc>
          <w:tcPr>
            <w:tcW w:w="1029" w:type="dxa"/>
            <w:tcBorders>
              <w:top w:val="nil"/>
              <w:left w:val="nil"/>
              <w:bottom w:val="nil"/>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陈万紫</w:t>
            </w:r>
          </w:p>
        </w:tc>
        <w:tc>
          <w:tcPr>
            <w:tcW w:w="1506" w:type="dxa"/>
            <w:tcBorders>
              <w:top w:val="nil"/>
              <w:left w:val="nil"/>
              <w:bottom w:val="nil"/>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r>
              <w:rPr>
                <w:rFonts w:hint="eastAsia" w:ascii="宋体" w:hAnsi="宋体" w:eastAsia="宋体" w:cs="宋体"/>
                <w:kern w:val="0"/>
                <w:sz w:val="20"/>
                <w:szCs w:val="20"/>
              </w:rPr>
              <w:t>三等奖</w:t>
            </w:r>
          </w:p>
        </w:tc>
        <w:tc>
          <w:tcPr>
            <w:tcW w:w="1155" w:type="dxa"/>
            <w:tcBorders>
              <w:top w:val="nil"/>
              <w:left w:val="nil"/>
              <w:bottom w:val="nil"/>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r>
              <w:rPr>
                <w:rFonts w:hint="eastAsia" w:ascii="宋体" w:hAnsi="宋体" w:eastAsia="宋体" w:cs="宋体"/>
                <w:kern w:val="0"/>
                <w:sz w:val="22"/>
              </w:rPr>
              <w:t>　</w:t>
            </w:r>
          </w:p>
        </w:tc>
        <w:tc>
          <w:tcPr>
            <w:tcW w:w="907" w:type="dxa"/>
            <w:tcBorders>
              <w:top w:val="nil"/>
              <w:left w:val="nil"/>
              <w:bottom w:val="nil"/>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90" w:hRule="atLeast"/>
        </w:trPr>
        <w:tc>
          <w:tcPr>
            <w:tcW w:w="720" w:type="dxa"/>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kern w:val="0"/>
                <w:sz w:val="20"/>
                <w:szCs w:val="20"/>
              </w:rPr>
            </w:pPr>
          </w:p>
        </w:tc>
        <w:tc>
          <w:tcPr>
            <w:tcW w:w="205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kern w:val="0"/>
                <w:sz w:val="20"/>
                <w:szCs w:val="20"/>
              </w:rPr>
            </w:pP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p>
        </w:tc>
        <w:tc>
          <w:tcPr>
            <w:tcW w:w="117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p>
        </w:tc>
        <w:tc>
          <w:tcPr>
            <w:tcW w:w="10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p>
        </w:tc>
        <w:tc>
          <w:tcPr>
            <w:tcW w:w="150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kern w:val="0"/>
                <w:sz w:val="20"/>
                <w:szCs w:val="20"/>
              </w:rPr>
            </w:pP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kern w:val="0"/>
                <w:sz w:val="22"/>
              </w:rPr>
            </w:pPr>
          </w:p>
        </w:tc>
        <w:tc>
          <w:tcPr>
            <w:tcW w:w="907"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kern w:val="0"/>
                <w:sz w:val="22"/>
              </w:rPr>
            </w:pPr>
          </w:p>
        </w:tc>
      </w:tr>
      <w:bookmarkEnd w:id="153"/>
      <w:bookmarkEnd w:id="154"/>
      <w:bookmarkEnd w:id="155"/>
      <w:bookmarkEnd w:id="156"/>
    </w:tbl>
    <w:tbl>
      <w:tblPr>
        <w:tblStyle w:val="7"/>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1984"/>
        <w:gridCol w:w="1288"/>
        <w:gridCol w:w="1620"/>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
                <w:bCs/>
                <w:kern w:val="0"/>
                <w:sz w:val="20"/>
                <w:szCs w:val="20"/>
              </w:rPr>
            </w:pPr>
            <w:r>
              <w:rPr>
                <w:rFonts w:hint="eastAsia" w:ascii="??_GB2312" w:hAnsi="??_GB2312" w:eastAsia="宋体" w:cs="??_GB2312"/>
                <w:b/>
                <w:bCs/>
                <w:kern w:val="0"/>
                <w:sz w:val="20"/>
                <w:szCs w:val="20"/>
              </w:rPr>
              <w:t>项目类别</w:t>
            </w:r>
          </w:p>
        </w:tc>
        <w:tc>
          <w:tcPr>
            <w:tcW w:w="1984" w:type="dxa"/>
          </w:tcPr>
          <w:p>
            <w:pPr>
              <w:autoSpaceDE w:val="0"/>
              <w:autoSpaceDN w:val="0"/>
              <w:adjustRightInd w:val="0"/>
              <w:spacing w:line="300" w:lineRule="exact"/>
              <w:jc w:val="left"/>
              <w:rPr>
                <w:rFonts w:ascii="??_GB2312" w:hAnsi="??_GB2312" w:eastAsia="宋体" w:cs="??_GB2312"/>
                <w:b/>
                <w:bCs/>
                <w:kern w:val="0"/>
                <w:sz w:val="20"/>
                <w:szCs w:val="20"/>
              </w:rPr>
            </w:pPr>
            <w:r>
              <w:rPr>
                <w:rFonts w:hint="eastAsia" w:ascii="??_GB2312" w:hAnsi="??_GB2312" w:eastAsia="宋体" w:cs="??_GB2312"/>
                <w:b/>
                <w:bCs/>
                <w:kern w:val="0"/>
                <w:sz w:val="20"/>
                <w:szCs w:val="20"/>
              </w:rPr>
              <w:t>名称</w:t>
            </w:r>
          </w:p>
        </w:tc>
        <w:tc>
          <w:tcPr>
            <w:tcW w:w="1288" w:type="dxa"/>
          </w:tcPr>
          <w:p>
            <w:pPr>
              <w:autoSpaceDE w:val="0"/>
              <w:autoSpaceDN w:val="0"/>
              <w:adjustRightInd w:val="0"/>
              <w:spacing w:line="300" w:lineRule="exact"/>
              <w:jc w:val="left"/>
              <w:rPr>
                <w:rFonts w:ascii="??_GB2312" w:hAnsi="??_GB2312" w:eastAsia="宋体" w:cs="??_GB2312"/>
                <w:b/>
                <w:bCs/>
                <w:kern w:val="0"/>
                <w:sz w:val="20"/>
                <w:szCs w:val="20"/>
              </w:rPr>
            </w:pPr>
            <w:r>
              <w:rPr>
                <w:rFonts w:hint="eastAsia" w:ascii="??_GB2312" w:hAnsi="??_GB2312" w:eastAsia="宋体" w:cs="??_GB2312"/>
                <w:b/>
                <w:bCs/>
                <w:kern w:val="0"/>
                <w:sz w:val="20"/>
                <w:szCs w:val="20"/>
              </w:rPr>
              <w:t>作者</w:t>
            </w:r>
          </w:p>
        </w:tc>
        <w:tc>
          <w:tcPr>
            <w:tcW w:w="1620" w:type="dxa"/>
          </w:tcPr>
          <w:p>
            <w:pPr>
              <w:autoSpaceDE w:val="0"/>
              <w:autoSpaceDN w:val="0"/>
              <w:adjustRightInd w:val="0"/>
              <w:spacing w:line="300" w:lineRule="exact"/>
              <w:jc w:val="left"/>
              <w:rPr>
                <w:rFonts w:ascii="??_GB2312" w:hAnsi="??_GB2312" w:eastAsia="宋体" w:cs="??_GB2312"/>
                <w:b/>
                <w:bCs/>
                <w:kern w:val="0"/>
                <w:sz w:val="20"/>
                <w:szCs w:val="20"/>
              </w:rPr>
            </w:pPr>
            <w:r>
              <w:rPr>
                <w:rFonts w:hint="eastAsia" w:ascii="??_GB2312" w:hAnsi="??_GB2312" w:eastAsia="宋体" w:cs="??_GB2312"/>
                <w:b/>
                <w:bCs/>
                <w:kern w:val="0"/>
                <w:sz w:val="20"/>
                <w:szCs w:val="20"/>
              </w:rPr>
              <w:t>指导老师</w:t>
            </w:r>
          </w:p>
        </w:tc>
        <w:tc>
          <w:tcPr>
            <w:tcW w:w="1203" w:type="dxa"/>
          </w:tcPr>
          <w:p>
            <w:pPr>
              <w:autoSpaceDE w:val="0"/>
              <w:autoSpaceDN w:val="0"/>
              <w:adjustRightInd w:val="0"/>
              <w:spacing w:line="300" w:lineRule="exact"/>
              <w:jc w:val="left"/>
              <w:rPr>
                <w:rFonts w:ascii="??_GB2312" w:hAnsi="??_GB2312" w:eastAsia="宋体" w:cs="??_GB2312"/>
                <w:b/>
                <w:bCs/>
                <w:kern w:val="0"/>
                <w:sz w:val="20"/>
                <w:szCs w:val="20"/>
              </w:rPr>
            </w:pPr>
            <w:r>
              <w:rPr>
                <w:rFonts w:hint="eastAsia" w:ascii="??_GB2312" w:hAnsi="??_GB2312" w:eastAsia="宋体" w:cs="??_GB2312"/>
                <w:b/>
                <w:bCs/>
                <w:kern w:val="0"/>
                <w:sz w:val="20"/>
                <w:szCs w:val="20"/>
              </w:rPr>
              <w:t>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非接触式电梯加装控制面板</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陈梦琦</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喻晗、乔梦婷</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“可替换、订书式”RJ45模块打线器</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凌俊杰</w:t>
            </w:r>
          </w:p>
          <w:p>
            <w:pPr>
              <w:spacing w:line="300" w:lineRule="exact"/>
              <w:jc w:val="center"/>
              <w:rPr>
                <w:rFonts w:ascii="??_GB2312" w:hAnsi="??_GB2312" w:eastAsia="宋体" w:cs="??_GB2312"/>
                <w:sz w:val="20"/>
                <w:szCs w:val="20"/>
              </w:rPr>
            </w:pP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阳树铭、刘永刚</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p>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新型弹子防盗锁</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谢东湦</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郭金辉、蒋秀娟</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基于人工智能的导购器</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苗浩</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葛张明、靖定国</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无人机失控坠落保护装置</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刘博宇</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葛张明、唐蒙蒙</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一种基于物联网控制的防漏水马桶</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黄晴</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王燕红、叶周</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2020年创新创业大赛创新作品项目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智能安全电烙铁排烟支架</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吴晗</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汪志勇、葛张明</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2020年创新创业大赛创业模拟项目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Sterger编程中心</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孙苏金</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喻晗、王琴</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2020年创新创业大赛创业模拟项目</w:t>
            </w:r>
          </w:p>
        </w:tc>
        <w:tc>
          <w:tcPr>
            <w:tcW w:w="1984"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基于“家庭医生式”营养早餐配送店</w:t>
            </w:r>
          </w:p>
        </w:tc>
        <w:tc>
          <w:tcPr>
            <w:tcW w:w="1288" w:type="dxa"/>
          </w:tcPr>
          <w:p>
            <w:pPr>
              <w:autoSpaceDE w:val="0"/>
              <w:autoSpaceDN w:val="0"/>
              <w:adjustRightInd w:val="0"/>
              <w:spacing w:line="300" w:lineRule="exact"/>
              <w:jc w:val="center"/>
              <w:rPr>
                <w:rFonts w:ascii="??_GB2312" w:hAnsi="??_GB2312" w:eastAsia="宋体" w:cs="??_GB2312"/>
                <w:bCs/>
                <w:kern w:val="0"/>
                <w:sz w:val="20"/>
                <w:szCs w:val="20"/>
              </w:rPr>
            </w:pPr>
            <w:r>
              <w:rPr>
                <w:rFonts w:hint="eastAsia" w:ascii="??_GB2312" w:hAnsi="??_GB2312" w:eastAsia="宋体" w:cs="??_GB2312"/>
                <w:bCs/>
                <w:kern w:val="0"/>
                <w:sz w:val="20"/>
                <w:szCs w:val="20"/>
              </w:rPr>
              <w:t>孙嘉浩</w:t>
            </w:r>
          </w:p>
        </w:tc>
        <w:tc>
          <w:tcPr>
            <w:tcW w:w="1620"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阳树铭、赵冬娟</w:t>
            </w:r>
          </w:p>
        </w:tc>
        <w:tc>
          <w:tcPr>
            <w:tcW w:w="1203" w:type="dxa"/>
          </w:tcPr>
          <w:p>
            <w:pPr>
              <w:autoSpaceDE w:val="0"/>
              <w:autoSpaceDN w:val="0"/>
              <w:adjustRightInd w:val="0"/>
              <w:spacing w:line="300" w:lineRule="exact"/>
              <w:jc w:val="left"/>
              <w:rPr>
                <w:rFonts w:ascii="??_GB2312" w:hAnsi="??_GB2312" w:eastAsia="宋体" w:cs="??_GB2312"/>
                <w:bCs/>
                <w:kern w:val="0"/>
                <w:sz w:val="20"/>
                <w:szCs w:val="20"/>
              </w:rPr>
            </w:pPr>
            <w:r>
              <w:rPr>
                <w:rFonts w:hint="eastAsia" w:ascii="??_GB2312" w:hAnsi="??_GB2312" w:eastAsia="宋体" w:cs="??_GB2312"/>
                <w:bCs/>
                <w:kern w:val="0"/>
                <w:sz w:val="20"/>
                <w:szCs w:val="20"/>
              </w:rPr>
              <w:t>三等奖</w:t>
            </w:r>
          </w:p>
        </w:tc>
      </w:tr>
    </w:tbl>
    <w:p>
      <w:pPr>
        <w:autoSpaceDE w:val="0"/>
        <w:autoSpaceDN w:val="0"/>
        <w:adjustRightInd w:val="0"/>
        <w:spacing w:line="480" w:lineRule="exact"/>
        <w:jc w:val="left"/>
        <w:rPr>
          <w:rFonts w:ascii="??_GB2312" w:hAnsi="??_GB2312" w:eastAsia="宋体" w:cs="??_GB2312"/>
          <w:b/>
          <w:bCs/>
          <w:kern w:val="0"/>
          <w:sz w:val="28"/>
          <w:szCs w:val="28"/>
        </w:rPr>
      </w:pPr>
    </w:p>
    <w:p>
      <w:pPr>
        <w:autoSpaceDE w:val="0"/>
        <w:autoSpaceDN w:val="0"/>
        <w:adjustRightInd w:val="0"/>
        <w:spacing w:line="480" w:lineRule="exact"/>
        <w:ind w:firstLine="559" w:firstLineChars="199"/>
        <w:outlineLvl w:val="1"/>
        <w:rPr>
          <w:rFonts w:ascii="??_GB2312" w:hAnsi="??_GB2312" w:eastAsia="宋体" w:cs="??_GB2312"/>
          <w:b/>
          <w:bCs/>
          <w:kern w:val="0"/>
          <w:sz w:val="28"/>
          <w:szCs w:val="28"/>
        </w:rPr>
      </w:pPr>
      <w:bookmarkStart w:id="157" w:name="_Toc4242"/>
      <w:bookmarkStart w:id="158" w:name="_Toc7108_WPSOffice_Level2"/>
      <w:bookmarkStart w:id="159" w:name="_Toc28039"/>
      <w:bookmarkStart w:id="160" w:name="_Toc16192_WPSOffice_Level2"/>
      <w:bookmarkStart w:id="161" w:name="_Toc18579"/>
      <w:r>
        <w:rPr>
          <w:rFonts w:hint="eastAsia" w:ascii="??_GB2312" w:hAnsi="??_GB2312" w:eastAsia="宋体" w:cs="??_GB2312"/>
          <w:b/>
          <w:bCs/>
          <w:kern w:val="0"/>
          <w:sz w:val="28"/>
          <w:szCs w:val="28"/>
        </w:rPr>
        <w:t>5.2 社会服务</w:t>
      </w:r>
      <w:bookmarkEnd w:id="157"/>
      <w:bookmarkEnd w:id="158"/>
      <w:bookmarkEnd w:id="159"/>
      <w:bookmarkEnd w:id="160"/>
      <w:bookmarkEnd w:id="161"/>
    </w:p>
    <w:p>
      <w:pPr>
        <w:autoSpaceDE w:val="0"/>
        <w:autoSpaceDN w:val="0"/>
        <w:adjustRightInd w:val="0"/>
        <w:spacing w:line="480" w:lineRule="exact"/>
        <w:ind w:firstLine="560" w:firstLineChars="200"/>
        <w:rPr>
          <w:rFonts w:ascii="宋体" w:hAnsi="??_GB2312" w:eastAsia="宋体" w:cs="宋体"/>
          <w:kern w:val="0"/>
          <w:sz w:val="28"/>
          <w:szCs w:val="28"/>
          <w:lang w:val="zh-CN"/>
        </w:rPr>
      </w:pPr>
      <w:r>
        <w:rPr>
          <w:rFonts w:hint="eastAsia" w:ascii="宋体" w:hAnsi="??_GB2312" w:eastAsia="宋体" w:cs="宋体"/>
          <w:kern w:val="0"/>
          <w:sz w:val="28"/>
          <w:szCs w:val="28"/>
          <w:lang w:val="zh-CN"/>
        </w:rPr>
        <w:t>我校在市教育局有关业务主管领导的关怀和指导下，在全校师生的共同努力下，严格遵守国家的各项教育法律法规，认真贯彻落实党和国家的各项政策措施，以人为本，实事求是，以培养人才，回报社会为切入点，切实加强教育教学研究，持续加强学校安全卫生管理工作，积极推进学生素质教育。</w:t>
      </w:r>
    </w:p>
    <w:p>
      <w:pPr>
        <w:autoSpaceDE w:val="0"/>
        <w:autoSpaceDN w:val="0"/>
        <w:adjustRightInd w:val="0"/>
        <w:spacing w:line="480" w:lineRule="exact"/>
        <w:ind w:firstLine="557" w:firstLineChars="199"/>
        <w:outlineLvl w:val="1"/>
        <w:rPr>
          <w:rFonts w:ascii="宋体" w:hAnsi="??_GB2312" w:eastAsia="宋体" w:cs="宋体"/>
          <w:kern w:val="0"/>
          <w:sz w:val="28"/>
          <w:szCs w:val="28"/>
          <w:lang w:val="zh-CN"/>
        </w:rPr>
      </w:pPr>
      <w:bookmarkStart w:id="162" w:name="_Toc8784"/>
      <w:r>
        <w:rPr>
          <w:rFonts w:hint="eastAsia" w:ascii="宋体" w:hAnsi="??_GB2312" w:eastAsia="宋体" w:cs="宋体"/>
          <w:kern w:val="0"/>
          <w:sz w:val="28"/>
          <w:szCs w:val="28"/>
          <w:lang w:val="zh-CN"/>
        </w:rPr>
        <w:t>教师的业务指导和培训，将教师的观念的转变、理念的提升贯彻于培训的全过程。坚持在学习中实践，在实践中研究，在研究中反思。我们确立了具有自身发展特点的社会培训思路。即：坚持“以人为本”的培训理念，树立以终身学习和发展为指向的培训思想，坚持社会培训与教研并举,素质与师德并重，“内强素质,外树形象”。学校积极鼓励教师参加社会培训，践行培训“三步走”方略：走出去，开拓视野；勤培训，强化内功；多反思，力求实效。以我校服务类专业为特色，以创业拓展、3D打印、摄影基础、礼仪形体为重点项目，本年度累计开展了3142人次的社会培训工作。</w:t>
      </w:r>
      <w:bookmarkEnd w:id="162"/>
    </w:p>
    <w:p>
      <w:pPr>
        <w:autoSpaceDE w:val="0"/>
        <w:autoSpaceDN w:val="0"/>
        <w:adjustRightInd w:val="0"/>
        <w:spacing w:line="480" w:lineRule="exact"/>
        <w:ind w:firstLine="559" w:firstLineChars="199"/>
        <w:outlineLvl w:val="1"/>
        <w:rPr>
          <w:rFonts w:ascii="??_GB2312" w:hAnsi="??_GB2312" w:eastAsia="宋体" w:cs="??_GB2312"/>
          <w:b/>
          <w:bCs/>
          <w:kern w:val="0"/>
          <w:sz w:val="28"/>
          <w:szCs w:val="28"/>
        </w:rPr>
      </w:pPr>
      <w:bookmarkStart w:id="163" w:name="_Toc26162"/>
      <w:r>
        <w:rPr>
          <w:rFonts w:hint="eastAsia" w:ascii="??_GB2312" w:hAnsi="??_GB2312" w:eastAsia="宋体" w:cs="??_GB2312"/>
          <w:b/>
          <w:bCs/>
          <w:kern w:val="0"/>
          <w:sz w:val="28"/>
          <w:szCs w:val="28"/>
        </w:rPr>
        <w:t>5.3 对口支援</w:t>
      </w:r>
      <w:bookmarkEnd w:id="163"/>
    </w:p>
    <w:p>
      <w:pPr>
        <w:autoSpaceDE w:val="0"/>
        <w:autoSpaceDN w:val="0"/>
        <w:adjustRightInd w:val="0"/>
        <w:spacing w:line="480" w:lineRule="exact"/>
        <w:ind w:firstLine="557" w:firstLineChars="199"/>
        <w:outlineLvl w:val="1"/>
        <w:rPr>
          <w:rFonts w:ascii="宋体" w:hAnsi="??_GB2312" w:eastAsia="宋体" w:cs="宋体"/>
          <w:kern w:val="0"/>
          <w:sz w:val="28"/>
          <w:szCs w:val="28"/>
          <w:lang w:val="zh-CN"/>
        </w:rPr>
      </w:pPr>
      <w:bookmarkStart w:id="164" w:name="_Toc18605"/>
      <w:r>
        <w:rPr>
          <w:rFonts w:hint="eastAsia" w:ascii="宋体" w:hAnsi="??_GB2312" w:eastAsia="宋体" w:cs="宋体"/>
          <w:kern w:val="0"/>
          <w:sz w:val="28"/>
          <w:szCs w:val="28"/>
          <w:lang w:val="zh-CN"/>
        </w:rPr>
        <w:t>我校电子商务专业教师王海波充分发扬“昆山之路”精神，认真贯彻落实全国对口支援新疆工作精神和要求，围绕阿图什市社会稳定和长治久安、脱贫攻坚两大任务，坚持向基层倾斜、向民生倾斜、向脱贫攻坚倾斜，充分展现了“胡杨杨柳一家亲，江南南疆昆阿情”的深情厚谊。</w:t>
      </w:r>
      <w:bookmarkEnd w:id="164"/>
    </w:p>
    <w:p>
      <w:pPr>
        <w:autoSpaceDE w:val="0"/>
        <w:autoSpaceDN w:val="0"/>
        <w:adjustRightInd w:val="0"/>
        <w:spacing w:line="480" w:lineRule="exact"/>
        <w:ind w:firstLine="557" w:firstLineChars="199"/>
        <w:outlineLvl w:val="1"/>
        <w:rPr>
          <w:rFonts w:ascii="宋体" w:hAnsi="??_GB2312" w:eastAsia="宋体" w:cs="宋体"/>
          <w:kern w:val="0"/>
          <w:sz w:val="28"/>
          <w:szCs w:val="28"/>
          <w:lang w:val="zh-CN"/>
        </w:rPr>
      </w:pPr>
      <w:bookmarkStart w:id="165" w:name="_Toc29316"/>
      <w:r>
        <w:rPr>
          <w:rFonts w:hint="eastAsia" w:ascii="宋体" w:hAnsi="??_GB2312" w:eastAsia="宋体" w:cs="宋体"/>
          <w:kern w:val="0"/>
          <w:sz w:val="28"/>
          <w:szCs w:val="28"/>
          <w:lang w:val="zh-CN"/>
        </w:rPr>
        <w:t>9月4日，带着领导的嘱咐和同事们的祝福，王海波老师抵达新疆霍尔果斯职业学校后，立刻马不停蹄地投入到工作中去，根据霍尔果斯市就业实际制订了电子商务专业的人才培养方案，创新了培养模式，对课堂教学、实践教学、课程体系、课程设置、课程内容、教学环节等方面提出了建设性意见。</w:t>
      </w:r>
      <w:bookmarkEnd w:id="165"/>
    </w:p>
    <w:p>
      <w:pPr>
        <w:autoSpaceDE w:val="0"/>
        <w:autoSpaceDN w:val="0"/>
        <w:adjustRightInd w:val="0"/>
        <w:spacing w:line="480" w:lineRule="exact"/>
        <w:ind w:firstLine="557" w:firstLineChars="199"/>
        <w:outlineLvl w:val="1"/>
        <w:rPr>
          <w:rFonts w:ascii="宋体" w:hAnsi="??_GB2312" w:eastAsia="宋体" w:cs="宋体"/>
          <w:kern w:val="0"/>
          <w:sz w:val="28"/>
          <w:szCs w:val="28"/>
          <w:lang w:val="zh-CN"/>
        </w:rPr>
      </w:pPr>
      <w:bookmarkStart w:id="166" w:name="_Toc11802"/>
      <w:r>
        <w:rPr>
          <w:rFonts w:hint="eastAsia" w:ascii="宋体" w:hAnsi="??_GB2312" w:eastAsia="宋体" w:cs="宋体"/>
          <w:kern w:val="0"/>
          <w:sz w:val="28"/>
          <w:szCs w:val="28"/>
          <w:lang w:val="zh-CN"/>
        </w:rPr>
        <w:t>王海波老师与两位年轻教师“青蓝结对”，在日常的教育教学工作中，把自己的专业知识、教学经验倾囊相授，指导青年教师如何备课，如何上好一节课。这种“传帮带”的师徒结对方式让他们受益匪浅。</w:t>
      </w:r>
      <w:bookmarkEnd w:id="166"/>
    </w:p>
    <w:p>
      <w:pPr>
        <w:autoSpaceDE w:val="0"/>
        <w:autoSpaceDN w:val="0"/>
        <w:adjustRightInd w:val="0"/>
        <w:spacing w:line="480" w:lineRule="exact"/>
        <w:ind w:firstLine="559" w:firstLineChars="199"/>
        <w:outlineLvl w:val="1"/>
        <w:rPr>
          <w:rFonts w:ascii="??_GB2312" w:hAnsi="??_GB2312" w:eastAsia="宋体" w:cs="??_GB2312"/>
          <w:b/>
          <w:bCs/>
          <w:kern w:val="0"/>
          <w:sz w:val="28"/>
          <w:szCs w:val="28"/>
        </w:rPr>
      </w:pPr>
      <w:bookmarkStart w:id="167" w:name="_Toc2356"/>
      <w:r>
        <w:rPr>
          <w:rFonts w:hint="eastAsia" w:ascii="??_GB2312" w:hAnsi="??_GB2312" w:eastAsia="宋体" w:cs="??_GB2312"/>
          <w:b/>
          <w:bCs/>
          <w:kern w:val="0"/>
          <w:sz w:val="28"/>
          <w:szCs w:val="28"/>
        </w:rPr>
        <w:t>5.4 服务抗疫</w:t>
      </w:r>
      <w:bookmarkEnd w:id="167"/>
    </w:p>
    <w:p>
      <w:pPr>
        <w:autoSpaceDE w:val="0"/>
        <w:autoSpaceDN w:val="0"/>
        <w:adjustRightInd w:val="0"/>
        <w:spacing w:line="480" w:lineRule="exact"/>
        <w:ind w:firstLine="557" w:firstLineChars="199"/>
        <w:outlineLvl w:val="1"/>
        <w:rPr>
          <w:rFonts w:ascii="宋体" w:hAnsi="??_GB2312" w:eastAsia="宋体" w:cs="宋体"/>
          <w:kern w:val="0"/>
          <w:sz w:val="28"/>
          <w:szCs w:val="28"/>
        </w:rPr>
      </w:pPr>
      <w:bookmarkStart w:id="168" w:name="_Toc25288"/>
      <w:r>
        <w:rPr>
          <w:rFonts w:hint="eastAsia" w:ascii="宋体" w:hAnsi="??_GB2312" w:eastAsia="宋体" w:cs="宋体"/>
          <w:kern w:val="0"/>
          <w:sz w:val="28"/>
          <w:szCs w:val="28"/>
        </w:rPr>
        <w:t>在疫情严峻的春节期间，发动党员教师，在做好自身防护的前提下，参与全社会的疫情防控工作，43名党员克服困难，积极融入花桥社区网格之中，每天三班值守在小区大门，与社区工作人员、小区物业人员一起开展疫情防控宣传、小区进门把控等工作，共计33天，四百余人次，总服务时长2380小时。</w:t>
      </w:r>
      <w:bookmarkEnd w:id="168"/>
    </w:p>
    <w:p>
      <w:pPr>
        <w:autoSpaceDE w:val="0"/>
        <w:autoSpaceDN w:val="0"/>
        <w:adjustRightInd w:val="0"/>
        <w:spacing w:line="480" w:lineRule="exact"/>
        <w:ind w:firstLine="557" w:firstLineChars="199"/>
        <w:outlineLvl w:val="1"/>
        <w:rPr>
          <w:rFonts w:ascii="??_GB2312" w:hAnsi="??_GB2312" w:eastAsia="宋体" w:cs="??_GB2312"/>
          <w:b/>
          <w:bCs/>
          <w:color w:val="FF0000"/>
          <w:kern w:val="0"/>
          <w:sz w:val="28"/>
          <w:szCs w:val="28"/>
        </w:rPr>
      </w:pPr>
      <w:bookmarkStart w:id="169" w:name="_Toc6168"/>
      <w:r>
        <w:rPr>
          <w:rFonts w:hint="eastAsia" w:ascii="宋体" w:hAnsi="??_GB2312" w:eastAsia="宋体" w:cs="宋体"/>
          <w:kern w:val="0"/>
          <w:sz w:val="28"/>
          <w:szCs w:val="28"/>
        </w:rPr>
        <w:t>花桥疫情防控指挥部委派我校陈茂盛副校长担任人口达3万多的枫浜社区防控指挥所负责人。指导社区调整防控体系，理顺防控工作机制，充实志愿者队伍，整改防控存在的问题，督查门岗值守情况，严防死守小区卡口。在他的指挥下，枫浜社区疫情防控工作更加扎实更加顺畅。在陈校长值守期间，枫浜社区未发生一例新冠肺炎疫情，未发生一起影响较大的投诉。</w:t>
      </w:r>
      <w:bookmarkEnd w:id="169"/>
      <w:r>
        <w:rPr>
          <w:rFonts w:hint="eastAsia" w:ascii="宋体" w:hAnsi="??_GB2312" w:eastAsia="宋体" w:cs="宋体"/>
          <w:color w:val="auto"/>
          <w:kern w:val="0"/>
          <w:sz w:val="28"/>
          <w:szCs w:val="28"/>
        </w:rPr>
        <w:t>本学期，党员教师陆春林主任被市教育局作为唯一代表抽调继续参加全市疫情防控工作，他工作认真踏实，得到领导好评。</w:t>
      </w:r>
    </w:p>
    <w:p>
      <w:pPr>
        <w:autoSpaceDE w:val="0"/>
        <w:autoSpaceDN w:val="0"/>
        <w:adjustRightInd w:val="0"/>
        <w:spacing w:line="480" w:lineRule="exact"/>
        <w:ind w:firstLine="570"/>
        <w:outlineLvl w:val="0"/>
        <w:rPr>
          <w:rFonts w:ascii="??_GB2312" w:hAnsi="??_GB2312" w:eastAsia="宋体" w:cs="??_GB2312"/>
          <w:b/>
          <w:bCs/>
          <w:kern w:val="0"/>
          <w:sz w:val="28"/>
          <w:szCs w:val="28"/>
        </w:rPr>
      </w:pPr>
      <w:bookmarkStart w:id="170" w:name="_Toc301_WPSOffice_Level1"/>
      <w:bookmarkStart w:id="171" w:name="_Toc1901"/>
      <w:bookmarkStart w:id="172" w:name="_Toc30563"/>
      <w:bookmarkStart w:id="173" w:name="_Toc11882_WPSOffice_Level1"/>
      <w:bookmarkStart w:id="174" w:name="_Toc27119"/>
      <w:r>
        <w:rPr>
          <w:rFonts w:hint="eastAsia" w:ascii="宋体" w:hAnsi="??_GB2312" w:eastAsia="宋体" w:cs="宋体"/>
          <w:b/>
          <w:bCs/>
          <w:kern w:val="0"/>
          <w:sz w:val="28"/>
          <w:szCs w:val="28"/>
          <w:lang w:val="zh-CN"/>
        </w:rPr>
        <w:t>六、举办者履责</w:t>
      </w:r>
      <w:bookmarkEnd w:id="170"/>
      <w:bookmarkEnd w:id="171"/>
      <w:bookmarkEnd w:id="172"/>
      <w:bookmarkEnd w:id="173"/>
      <w:bookmarkEnd w:id="174"/>
    </w:p>
    <w:p>
      <w:pPr>
        <w:autoSpaceDE w:val="0"/>
        <w:autoSpaceDN w:val="0"/>
        <w:adjustRightInd w:val="0"/>
        <w:spacing w:line="480" w:lineRule="exact"/>
        <w:ind w:firstLine="570"/>
        <w:outlineLvl w:val="1"/>
        <w:rPr>
          <w:rFonts w:ascii="??_GB2312" w:hAnsi="??_GB2312" w:eastAsia="宋体" w:cs="??_GB2312"/>
          <w:b/>
          <w:kern w:val="0"/>
          <w:sz w:val="28"/>
          <w:szCs w:val="28"/>
        </w:rPr>
      </w:pPr>
      <w:bookmarkStart w:id="175" w:name="_Toc30592"/>
      <w:bookmarkStart w:id="176" w:name="_Toc3754_WPSOffice_Level2"/>
      <w:bookmarkStart w:id="177" w:name="_Toc19707_WPSOffice_Level2"/>
      <w:bookmarkStart w:id="178" w:name="_Toc14145"/>
      <w:bookmarkStart w:id="179" w:name="_Toc26170"/>
      <w:r>
        <w:rPr>
          <w:rFonts w:hint="eastAsia" w:ascii="??_GB2312" w:hAnsi="??_GB2312" w:eastAsia="宋体" w:cs="??_GB2312"/>
          <w:b/>
          <w:kern w:val="0"/>
          <w:sz w:val="28"/>
          <w:szCs w:val="28"/>
        </w:rPr>
        <w:t>6.1 经费保障</w:t>
      </w:r>
      <w:bookmarkEnd w:id="175"/>
      <w:bookmarkEnd w:id="176"/>
      <w:bookmarkEnd w:id="177"/>
      <w:bookmarkEnd w:id="178"/>
      <w:bookmarkEnd w:id="179"/>
    </w:p>
    <w:p>
      <w:pPr>
        <w:autoSpaceDE w:val="0"/>
        <w:autoSpaceDN w:val="0"/>
        <w:adjustRightInd w:val="0"/>
        <w:spacing w:line="480" w:lineRule="exact"/>
        <w:ind w:firstLine="570"/>
        <w:rPr>
          <w:rFonts w:ascii="宋体" w:hAnsi="??_GB2312" w:eastAsia="宋体" w:cs="宋体"/>
          <w:kern w:val="0"/>
          <w:sz w:val="28"/>
          <w:szCs w:val="28"/>
          <w:lang w:val="zh-CN"/>
        </w:rPr>
      </w:pPr>
      <w:r>
        <w:rPr>
          <w:rFonts w:ascii="??_GB2312" w:hAnsi="??_GB2312" w:eastAsia="宋体" w:cs="??_GB2312"/>
          <w:kern w:val="0"/>
          <w:sz w:val="28"/>
          <w:szCs w:val="28"/>
        </w:rPr>
        <w:t>20</w:t>
      </w:r>
      <w:r>
        <w:rPr>
          <w:rFonts w:hint="eastAsia" w:ascii="??_GB2312" w:hAnsi="??_GB2312" w:eastAsia="宋体" w:cs="??_GB2312"/>
          <w:kern w:val="0"/>
          <w:sz w:val="28"/>
          <w:szCs w:val="28"/>
        </w:rPr>
        <w:t>20</w:t>
      </w:r>
      <w:r>
        <w:rPr>
          <w:rFonts w:hint="eastAsia" w:ascii="宋体" w:hAnsi="??_GB2312" w:eastAsia="宋体" w:cs="宋体"/>
          <w:kern w:val="0"/>
          <w:sz w:val="28"/>
          <w:szCs w:val="28"/>
          <w:lang w:val="zh-CN"/>
        </w:rPr>
        <w:t>年，学校经费投入情况见下表：</w:t>
      </w:r>
    </w:p>
    <w:p>
      <w:pPr>
        <w:autoSpaceDE w:val="0"/>
        <w:autoSpaceDN w:val="0"/>
        <w:adjustRightInd w:val="0"/>
        <w:spacing w:line="480" w:lineRule="exact"/>
        <w:ind w:firstLine="570"/>
        <w:jc w:val="center"/>
        <w:rPr>
          <w:rFonts w:ascii="??_GB2312" w:hAnsi="??_GB2312" w:eastAsia="宋体" w:cs="??_GB2312"/>
          <w:kern w:val="0"/>
          <w:sz w:val="28"/>
          <w:szCs w:val="28"/>
        </w:rPr>
      </w:pPr>
      <w:bookmarkStart w:id="180" w:name="_Toc19587_WPSOffice_Level3"/>
      <w:bookmarkStart w:id="181" w:name="_Toc17415_WPSOffice_Level3"/>
      <w:r>
        <w:rPr>
          <w:rFonts w:hint="eastAsia" w:ascii="宋体" w:hAnsi="??_GB2312" w:eastAsia="宋体" w:cs="宋体"/>
          <w:kern w:val="0"/>
          <w:sz w:val="28"/>
          <w:szCs w:val="28"/>
          <w:lang w:val="zh-CN"/>
        </w:rPr>
        <w:t>表1</w:t>
      </w:r>
      <w:r>
        <w:rPr>
          <w:rFonts w:hint="eastAsia" w:ascii="宋体" w:hAnsi="??_GB2312" w:eastAsia="宋体" w:cs="宋体"/>
          <w:kern w:val="0"/>
          <w:sz w:val="28"/>
          <w:szCs w:val="28"/>
        </w:rPr>
        <w:t>1</w:t>
      </w:r>
      <w:r>
        <w:rPr>
          <w:rFonts w:hint="eastAsia" w:ascii="宋体" w:hAnsi="??_GB2312" w:eastAsia="宋体" w:cs="宋体"/>
          <w:kern w:val="0"/>
          <w:sz w:val="28"/>
          <w:szCs w:val="28"/>
          <w:lang w:val="zh-CN"/>
        </w:rPr>
        <w:t>：学校经费投入情况</w:t>
      </w:r>
      <w:bookmarkEnd w:id="180"/>
      <w:bookmarkEnd w:id="181"/>
    </w:p>
    <w:tbl>
      <w:tblPr>
        <w:tblStyle w:val="6"/>
        <w:tblW w:w="9535" w:type="dxa"/>
        <w:tblInd w:w="-116" w:type="dxa"/>
        <w:tblLayout w:type="fixed"/>
        <w:tblCellMar>
          <w:top w:w="0" w:type="dxa"/>
          <w:left w:w="108" w:type="dxa"/>
          <w:bottom w:w="0" w:type="dxa"/>
          <w:right w:w="108" w:type="dxa"/>
        </w:tblCellMar>
      </w:tblPr>
      <w:tblGrid>
        <w:gridCol w:w="1551"/>
        <w:gridCol w:w="1254"/>
        <w:gridCol w:w="1112"/>
        <w:gridCol w:w="1138"/>
        <w:gridCol w:w="1077"/>
        <w:gridCol w:w="978"/>
        <w:gridCol w:w="1243"/>
        <w:gridCol w:w="1182"/>
      </w:tblGrid>
      <w:tr>
        <w:tblPrEx>
          <w:tblCellMar>
            <w:top w:w="0" w:type="dxa"/>
            <w:left w:w="108" w:type="dxa"/>
            <w:bottom w:w="0" w:type="dxa"/>
            <w:right w:w="108" w:type="dxa"/>
          </w:tblCellMar>
        </w:tblPrEx>
        <w:trPr>
          <w:trHeight w:val="510" w:hRule="atLeast"/>
        </w:trPr>
        <w:tc>
          <w:tcPr>
            <w:tcW w:w="2805" w:type="dxa"/>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经费总投入</w:t>
            </w:r>
          </w:p>
        </w:tc>
        <w:tc>
          <w:tcPr>
            <w:tcW w:w="2250"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生均经费</w:t>
            </w:r>
          </w:p>
        </w:tc>
        <w:tc>
          <w:tcPr>
            <w:tcW w:w="2055"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教师总收入</w:t>
            </w:r>
          </w:p>
        </w:tc>
        <w:tc>
          <w:tcPr>
            <w:tcW w:w="2425" w:type="dxa"/>
            <w:gridSpan w:val="2"/>
            <w:tcBorders>
              <w:top w:val="single" w:color="000000" w:sz="2" w:space="0"/>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spacing w:val="-18"/>
                <w:kern w:val="0"/>
                <w:sz w:val="24"/>
                <w:szCs w:val="24"/>
                <w:lang w:val="zh-CN"/>
              </w:rPr>
              <w:t>项目经费投入情况</w:t>
            </w:r>
          </w:p>
        </w:tc>
      </w:tr>
      <w:tr>
        <w:tblPrEx>
          <w:tblCellMar>
            <w:top w:w="0" w:type="dxa"/>
            <w:left w:w="108" w:type="dxa"/>
            <w:bottom w:w="0" w:type="dxa"/>
            <w:right w:w="108" w:type="dxa"/>
          </w:tblCellMar>
        </w:tblPrEx>
        <w:trPr>
          <w:trHeight w:val="510" w:hRule="atLeast"/>
        </w:trPr>
        <w:tc>
          <w:tcPr>
            <w:tcW w:w="1551"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当年数</w:t>
            </w:r>
          </w:p>
        </w:tc>
        <w:tc>
          <w:tcPr>
            <w:tcW w:w="1254"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上年数</w:t>
            </w:r>
          </w:p>
        </w:tc>
        <w:tc>
          <w:tcPr>
            <w:tcW w:w="111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当年数</w:t>
            </w:r>
          </w:p>
        </w:tc>
        <w:tc>
          <w:tcPr>
            <w:tcW w:w="1138"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上年数</w:t>
            </w:r>
          </w:p>
        </w:tc>
        <w:tc>
          <w:tcPr>
            <w:tcW w:w="1077"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当年数</w:t>
            </w:r>
          </w:p>
        </w:tc>
        <w:tc>
          <w:tcPr>
            <w:tcW w:w="978"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上年数</w:t>
            </w:r>
          </w:p>
        </w:tc>
        <w:tc>
          <w:tcPr>
            <w:tcW w:w="124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当年数</w:t>
            </w:r>
          </w:p>
        </w:tc>
        <w:tc>
          <w:tcPr>
            <w:tcW w:w="118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lang w:val="zh-CN"/>
              </w:rPr>
            </w:pPr>
            <w:r>
              <w:rPr>
                <w:rFonts w:hint="eastAsia" w:ascii="宋体" w:hAnsi="??_GB2312" w:eastAsia="宋体" w:cs="宋体"/>
                <w:color w:val="000000"/>
                <w:kern w:val="0"/>
                <w:sz w:val="24"/>
                <w:szCs w:val="24"/>
                <w:lang w:val="zh-CN"/>
              </w:rPr>
              <w:t>上年数</w:t>
            </w:r>
          </w:p>
        </w:tc>
      </w:tr>
      <w:tr>
        <w:tblPrEx>
          <w:tblCellMar>
            <w:top w:w="0" w:type="dxa"/>
            <w:left w:w="108" w:type="dxa"/>
            <w:bottom w:w="0" w:type="dxa"/>
            <w:right w:w="108" w:type="dxa"/>
          </w:tblCellMar>
        </w:tblPrEx>
        <w:trPr>
          <w:trHeight w:val="515" w:hRule="atLeast"/>
        </w:trPr>
        <w:tc>
          <w:tcPr>
            <w:tcW w:w="1551" w:type="dxa"/>
            <w:tcBorders>
              <w:top w:val="nil"/>
              <w:left w:val="single" w:color="000000" w:sz="2" w:space="0"/>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宋体" w:eastAsia="宋体" w:cs="宋体"/>
                <w:color w:val="000000"/>
                <w:kern w:val="0"/>
                <w:sz w:val="24"/>
                <w:szCs w:val="24"/>
                <w:lang w:bidi="ar"/>
              </w:rPr>
              <w:t>5475.71</w:t>
            </w:r>
            <w:r>
              <w:rPr>
                <w:rFonts w:hint="eastAsia" w:ascii="宋体" w:hAnsi="??_GB2312" w:eastAsia="宋体" w:cs="宋体"/>
                <w:kern w:val="0"/>
                <w:sz w:val="24"/>
                <w:szCs w:val="24"/>
              </w:rPr>
              <w:t>万</w:t>
            </w:r>
          </w:p>
        </w:tc>
        <w:tc>
          <w:tcPr>
            <w:tcW w:w="1254"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color w:val="000000"/>
                <w:kern w:val="0"/>
                <w:sz w:val="24"/>
                <w:szCs w:val="24"/>
              </w:rPr>
            </w:pPr>
            <w:r>
              <w:rPr>
                <w:rFonts w:hint="eastAsia" w:ascii="宋体" w:hAnsi="宋体" w:eastAsia="宋体" w:cs="宋体"/>
                <w:color w:val="000000"/>
                <w:kern w:val="0"/>
                <w:sz w:val="24"/>
                <w:szCs w:val="24"/>
                <w:lang w:bidi="ar"/>
              </w:rPr>
              <w:t>5541.2</w:t>
            </w:r>
            <w:r>
              <w:rPr>
                <w:rFonts w:hint="eastAsia" w:ascii="宋体" w:hAnsi="??_GB2312" w:eastAsia="宋体" w:cs="宋体"/>
                <w:kern w:val="0"/>
                <w:sz w:val="24"/>
                <w:szCs w:val="24"/>
              </w:rPr>
              <w:t>万</w:t>
            </w:r>
          </w:p>
        </w:tc>
        <w:tc>
          <w:tcPr>
            <w:tcW w:w="111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宋体" w:eastAsia="宋体" w:cs="宋体"/>
                <w:color w:val="000000"/>
                <w:kern w:val="0"/>
                <w:sz w:val="24"/>
                <w:szCs w:val="24"/>
                <w:lang w:bidi="ar"/>
              </w:rPr>
              <w:t>2925</w:t>
            </w:r>
            <w:r>
              <w:rPr>
                <w:rFonts w:hint="eastAsia" w:ascii="宋体" w:hAnsi="??_GB2312" w:eastAsia="宋体" w:cs="宋体"/>
                <w:kern w:val="0"/>
                <w:sz w:val="24"/>
                <w:szCs w:val="24"/>
              </w:rPr>
              <w:t>元</w:t>
            </w:r>
          </w:p>
        </w:tc>
        <w:tc>
          <w:tcPr>
            <w:tcW w:w="1138"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宋体" w:hAnsi="??_GB2312" w:eastAsia="宋体" w:cs="宋体"/>
                <w:kern w:val="0"/>
                <w:sz w:val="24"/>
                <w:szCs w:val="24"/>
              </w:rPr>
            </w:pPr>
            <w:r>
              <w:rPr>
                <w:rFonts w:hint="eastAsia" w:ascii="宋体" w:hAnsi="??_GB2312" w:eastAsia="宋体" w:cs="宋体"/>
                <w:kern w:val="0"/>
                <w:sz w:val="24"/>
                <w:szCs w:val="24"/>
              </w:rPr>
              <w:t>1680元</w:t>
            </w:r>
          </w:p>
        </w:tc>
        <w:tc>
          <w:tcPr>
            <w:tcW w:w="1077"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color w:val="000000"/>
                <w:kern w:val="0"/>
                <w:sz w:val="24"/>
                <w:szCs w:val="24"/>
              </w:rPr>
            </w:pPr>
            <w:r>
              <w:rPr>
                <w:rFonts w:hint="eastAsia" w:ascii="宋体" w:hAnsi="??_GB2312" w:eastAsia="宋体" w:cs="宋体"/>
                <w:kern w:val="0"/>
                <w:sz w:val="24"/>
                <w:szCs w:val="24"/>
                <w:lang w:val="en-US" w:eastAsia="zh-CN"/>
              </w:rPr>
              <w:t>26.5</w:t>
            </w:r>
            <w:bookmarkStart w:id="196" w:name="_GoBack"/>
            <w:bookmarkEnd w:id="196"/>
            <w:r>
              <w:rPr>
                <w:rFonts w:hint="eastAsia" w:ascii="宋体" w:hAnsi="??_GB2312" w:eastAsia="宋体" w:cs="宋体"/>
                <w:kern w:val="0"/>
                <w:sz w:val="24"/>
                <w:szCs w:val="24"/>
              </w:rPr>
              <w:t>万</w:t>
            </w:r>
          </w:p>
        </w:tc>
        <w:tc>
          <w:tcPr>
            <w:tcW w:w="978"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color w:val="000000"/>
                <w:kern w:val="0"/>
                <w:sz w:val="24"/>
                <w:szCs w:val="24"/>
              </w:rPr>
            </w:pPr>
            <w:r>
              <w:rPr>
                <w:rFonts w:hint="eastAsia" w:ascii="??_GB2312" w:hAnsi="??_GB2312" w:eastAsia="宋体" w:cs="??_GB2312"/>
                <w:color w:val="000000"/>
                <w:kern w:val="0"/>
                <w:sz w:val="24"/>
                <w:szCs w:val="24"/>
              </w:rPr>
              <w:t>26.1</w:t>
            </w:r>
            <w:r>
              <w:rPr>
                <w:rFonts w:hint="eastAsia" w:ascii="宋体" w:hAnsi="??_GB2312" w:eastAsia="宋体" w:cs="宋体"/>
                <w:kern w:val="0"/>
                <w:sz w:val="24"/>
                <w:szCs w:val="24"/>
              </w:rPr>
              <w:t>万</w:t>
            </w:r>
          </w:p>
        </w:tc>
        <w:tc>
          <w:tcPr>
            <w:tcW w:w="1243"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color w:val="000000"/>
                <w:kern w:val="0"/>
                <w:sz w:val="24"/>
                <w:szCs w:val="24"/>
              </w:rPr>
            </w:pPr>
            <w:r>
              <w:rPr>
                <w:rFonts w:hint="eastAsia" w:ascii="宋体" w:hAnsi="宋体" w:eastAsia="宋体" w:cs="宋体"/>
                <w:color w:val="000000"/>
                <w:kern w:val="0"/>
                <w:sz w:val="24"/>
                <w:szCs w:val="24"/>
                <w:lang w:bidi="ar"/>
              </w:rPr>
              <w:t>226.88</w:t>
            </w:r>
            <w:r>
              <w:rPr>
                <w:rFonts w:hint="eastAsia" w:ascii="宋体" w:hAnsi="??_GB2312" w:eastAsia="宋体" w:cs="宋体"/>
                <w:kern w:val="0"/>
                <w:sz w:val="24"/>
                <w:szCs w:val="24"/>
              </w:rPr>
              <w:t>万</w:t>
            </w:r>
          </w:p>
        </w:tc>
        <w:tc>
          <w:tcPr>
            <w:tcW w:w="1182" w:type="dxa"/>
            <w:tcBorders>
              <w:top w:val="nil"/>
              <w:left w:val="nil"/>
              <w:bottom w:val="single" w:color="000000" w:sz="2" w:space="0"/>
              <w:right w:val="single" w:color="000000" w:sz="2" w:space="0"/>
            </w:tcBorders>
            <w:vAlign w:val="center"/>
          </w:tcPr>
          <w:p>
            <w:pPr>
              <w:autoSpaceDE w:val="0"/>
              <w:autoSpaceDN w:val="0"/>
              <w:adjustRightInd w:val="0"/>
              <w:spacing w:line="480" w:lineRule="exact"/>
              <w:jc w:val="center"/>
              <w:rPr>
                <w:rFonts w:ascii="??_GB2312" w:hAnsi="??_GB2312" w:eastAsia="宋体" w:cs="??_GB2312"/>
                <w:color w:val="000000"/>
                <w:kern w:val="0"/>
                <w:sz w:val="24"/>
                <w:szCs w:val="24"/>
              </w:rPr>
            </w:pPr>
            <w:r>
              <w:rPr>
                <w:rFonts w:hint="eastAsia" w:ascii="??_GB2312" w:hAnsi="??_GB2312" w:eastAsia="宋体" w:cs="??_GB2312"/>
                <w:color w:val="000000"/>
                <w:kern w:val="0"/>
                <w:sz w:val="24"/>
                <w:szCs w:val="24"/>
              </w:rPr>
              <w:t>263.35</w:t>
            </w:r>
            <w:r>
              <w:rPr>
                <w:rFonts w:hint="eastAsia" w:ascii="宋体" w:hAnsi="??_GB2312" w:eastAsia="宋体" w:cs="宋体"/>
                <w:kern w:val="0"/>
                <w:sz w:val="24"/>
                <w:szCs w:val="24"/>
              </w:rPr>
              <w:t>万</w:t>
            </w:r>
          </w:p>
        </w:tc>
      </w:tr>
    </w:tbl>
    <w:p>
      <w:pPr>
        <w:autoSpaceDE w:val="0"/>
        <w:autoSpaceDN w:val="0"/>
        <w:adjustRightInd w:val="0"/>
        <w:spacing w:line="480" w:lineRule="exact"/>
        <w:ind w:firstLine="570"/>
        <w:outlineLvl w:val="1"/>
        <w:rPr>
          <w:rFonts w:ascii="宋体" w:hAnsi="??_GB2312" w:eastAsia="宋体" w:cs="宋体"/>
          <w:b/>
          <w:kern w:val="0"/>
          <w:sz w:val="28"/>
          <w:szCs w:val="28"/>
          <w:lang w:val="zh-CN"/>
        </w:rPr>
      </w:pPr>
      <w:bookmarkStart w:id="182" w:name="_Toc24194"/>
      <w:bookmarkStart w:id="183" w:name="_Toc6487_WPSOffice_Level2"/>
      <w:bookmarkStart w:id="184" w:name="_Toc5578"/>
      <w:bookmarkStart w:id="185" w:name="_Toc8558_WPSOffice_Level2"/>
      <w:bookmarkStart w:id="186" w:name="_Toc32311"/>
      <w:r>
        <w:rPr>
          <w:rFonts w:hint="eastAsia" w:ascii="宋体" w:hAnsi="??_GB2312" w:eastAsia="宋体" w:cs="宋体"/>
          <w:b/>
          <w:kern w:val="0"/>
          <w:sz w:val="28"/>
          <w:szCs w:val="28"/>
        </w:rPr>
        <w:t>6</w:t>
      </w:r>
      <w:r>
        <w:rPr>
          <w:rFonts w:hint="eastAsia" w:ascii="宋体" w:hAnsi="??_GB2312" w:eastAsia="宋体" w:cs="宋体"/>
          <w:b/>
          <w:kern w:val="0"/>
          <w:sz w:val="28"/>
          <w:szCs w:val="28"/>
          <w:lang w:val="zh-CN"/>
        </w:rPr>
        <w:t>.2</w:t>
      </w:r>
      <w:r>
        <w:rPr>
          <w:rFonts w:hint="eastAsia" w:ascii="宋体" w:hAnsi="??_GB2312" w:eastAsia="宋体" w:cs="宋体"/>
          <w:b/>
          <w:kern w:val="0"/>
          <w:sz w:val="28"/>
          <w:szCs w:val="28"/>
        </w:rPr>
        <w:t xml:space="preserve"> </w:t>
      </w:r>
      <w:r>
        <w:rPr>
          <w:rFonts w:hint="eastAsia" w:ascii="宋体" w:hAnsi="??_GB2312" w:eastAsia="宋体" w:cs="宋体"/>
          <w:b/>
          <w:kern w:val="0"/>
          <w:sz w:val="28"/>
          <w:szCs w:val="28"/>
          <w:lang w:val="zh-CN"/>
        </w:rPr>
        <w:t>政策措施</w:t>
      </w:r>
      <w:bookmarkEnd w:id="182"/>
      <w:bookmarkEnd w:id="183"/>
      <w:bookmarkEnd w:id="184"/>
      <w:bookmarkEnd w:id="185"/>
      <w:bookmarkEnd w:id="186"/>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同时，学校的物流商务实训基地于</w:t>
      </w:r>
      <w:r>
        <w:rPr>
          <w:rFonts w:ascii="??_GB2312" w:hAnsi="??_GB2312" w:eastAsia="宋体" w:cs="??_GB2312"/>
          <w:kern w:val="0"/>
          <w:sz w:val="28"/>
          <w:szCs w:val="28"/>
        </w:rPr>
        <w:t>20</w:t>
      </w:r>
      <w:r>
        <w:rPr>
          <w:rFonts w:hint="eastAsia" w:ascii="??_GB2312" w:hAnsi="??_GB2312" w:eastAsia="宋体" w:cs="??_GB2312"/>
          <w:kern w:val="0"/>
          <w:sz w:val="28"/>
          <w:szCs w:val="28"/>
        </w:rPr>
        <w:t>20</w:t>
      </w:r>
      <w:r>
        <w:rPr>
          <w:rFonts w:hint="eastAsia" w:ascii="宋体" w:hAnsi="??_GB2312" w:eastAsia="宋体" w:cs="宋体"/>
          <w:kern w:val="0"/>
          <w:sz w:val="28"/>
          <w:szCs w:val="28"/>
          <w:lang w:val="zh-CN"/>
        </w:rPr>
        <w:t>年</w:t>
      </w:r>
      <w:r>
        <w:rPr>
          <w:rFonts w:hint="eastAsia" w:ascii="??_GB2312" w:hAnsi="??_GB2312" w:eastAsia="宋体" w:cs="??_GB2312"/>
          <w:kern w:val="0"/>
          <w:sz w:val="28"/>
          <w:szCs w:val="28"/>
        </w:rPr>
        <w:t>3</w:t>
      </w:r>
      <w:r>
        <w:rPr>
          <w:rFonts w:hint="eastAsia" w:ascii="宋体" w:hAnsi="??_GB2312" w:eastAsia="宋体" w:cs="宋体"/>
          <w:kern w:val="0"/>
          <w:sz w:val="28"/>
          <w:szCs w:val="28"/>
          <w:lang w:val="zh-CN"/>
        </w:rPr>
        <w:t>月获批</w:t>
      </w:r>
      <w:r>
        <w:rPr>
          <w:rFonts w:ascii="宋体" w:hAnsi="??_GB2312" w:eastAsia="宋体" w:cs="宋体"/>
          <w:kern w:val="0"/>
          <w:sz w:val="28"/>
          <w:szCs w:val="28"/>
          <w:lang w:val="zh-CN"/>
        </w:rPr>
        <w:t>“</w:t>
      </w:r>
      <w:r>
        <w:rPr>
          <w:rFonts w:hint="eastAsia" w:ascii="??_GB2312" w:hAnsi="??_GB2312" w:eastAsia="宋体" w:cs="??_GB2312"/>
          <w:kern w:val="0"/>
          <w:sz w:val="28"/>
          <w:szCs w:val="28"/>
        </w:rPr>
        <w:t>江苏省职业学校现代化实训基地</w:t>
      </w:r>
      <w:r>
        <w:rPr>
          <w:rFonts w:ascii="??_GB2312" w:hAnsi="??_GB2312" w:eastAsia="宋体" w:cs="??_GB2312"/>
          <w:kern w:val="0"/>
          <w:sz w:val="28"/>
          <w:szCs w:val="28"/>
          <w:lang w:val="zh-CN"/>
        </w:rPr>
        <w:t>”</w:t>
      </w:r>
      <w:r>
        <w:rPr>
          <w:rFonts w:hint="eastAsia" w:ascii="??_GB2312" w:hAnsi="??_GB2312" w:eastAsia="宋体" w:cs="??_GB2312"/>
          <w:kern w:val="0"/>
          <w:sz w:val="28"/>
          <w:szCs w:val="28"/>
          <w:lang w:val="zh-CN"/>
        </w:rPr>
        <w:t>。</w:t>
      </w:r>
      <w:r>
        <w:rPr>
          <w:rFonts w:hint="eastAsia" w:ascii="??_GB2312" w:hAnsi="??_GB2312" w:eastAsia="宋体" w:cs="??_GB2312"/>
          <w:kern w:val="0"/>
          <w:sz w:val="28"/>
          <w:szCs w:val="28"/>
        </w:rPr>
        <w:t>目前</w:t>
      </w:r>
      <w:r>
        <w:rPr>
          <w:rFonts w:hint="eastAsia" w:ascii="??_GB2312" w:hAnsi="??_GB2312" w:eastAsia="宋体" w:cs="??_GB2312"/>
          <w:kern w:val="0"/>
          <w:sz w:val="28"/>
          <w:szCs w:val="28"/>
          <w:lang w:val="zh-CN"/>
        </w:rPr>
        <w:t>，学校基本完成了省</w:t>
      </w:r>
      <w:r>
        <w:rPr>
          <w:rFonts w:hint="eastAsia" w:ascii="宋体" w:hAnsi="??_GB2312" w:eastAsia="宋体" w:cs="宋体"/>
          <w:kern w:val="0"/>
          <w:sz w:val="28"/>
          <w:szCs w:val="28"/>
          <w:lang w:val="zh-CN"/>
        </w:rPr>
        <w:t>职业学校现代化实训基地建设任务，对原有的电子商务实训基地、物流商务实训基地进行了改造，实现物联网智能功能，提升了整个实训基地智能信息化水平，营造了良好的教学、科研、生产的氛围，为校企合作搭建了有效的沟通平台。</w:t>
      </w:r>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实训基地建设前原有</w:t>
      </w:r>
      <w:r>
        <w:rPr>
          <w:rFonts w:ascii="??_GB2312" w:hAnsi="??_GB2312" w:eastAsia="宋体" w:cs="??_GB2312"/>
          <w:kern w:val="0"/>
          <w:sz w:val="28"/>
          <w:szCs w:val="28"/>
        </w:rPr>
        <w:t>16</w:t>
      </w:r>
      <w:r>
        <w:rPr>
          <w:rFonts w:hint="eastAsia" w:ascii="宋体" w:hAnsi="??_GB2312" w:eastAsia="宋体" w:cs="宋体"/>
          <w:kern w:val="0"/>
          <w:sz w:val="28"/>
          <w:szCs w:val="28"/>
          <w:lang w:val="zh-CN"/>
        </w:rPr>
        <w:t>间实训室，分别建有自动化立体仓库实训室、运输模拟演练实训室、自动化电子分拣包装实训室、未来超市实训室、电子商务企业运营</w:t>
      </w:r>
      <w:r>
        <w:rPr>
          <w:rFonts w:ascii="??_GB2312" w:hAnsi="??_GB2312" w:eastAsia="宋体" w:cs="??_GB2312"/>
          <w:kern w:val="0"/>
          <w:sz w:val="28"/>
          <w:szCs w:val="28"/>
        </w:rPr>
        <w:t>ERP</w:t>
      </w:r>
      <w:r>
        <w:rPr>
          <w:rFonts w:hint="eastAsia" w:ascii="宋体" w:hAnsi="??_GB2312" w:eastAsia="宋体" w:cs="宋体"/>
          <w:kern w:val="0"/>
          <w:sz w:val="28"/>
          <w:szCs w:val="28"/>
          <w:lang w:val="zh-CN"/>
        </w:rPr>
        <w:t>实训室，电子商务运营实训室、电子商务创业实训室、电子商务智慧实训室、物流运输作业实训室、物流仓管实训室、商务推荐实训室、商务</w:t>
      </w:r>
      <w:r>
        <w:rPr>
          <w:rFonts w:ascii="??_GB2312" w:hAnsi="??_GB2312" w:eastAsia="宋体" w:cs="??_GB2312"/>
          <w:kern w:val="0"/>
          <w:sz w:val="28"/>
          <w:szCs w:val="28"/>
        </w:rPr>
        <w:t>3D</w:t>
      </w:r>
      <w:r>
        <w:rPr>
          <w:rFonts w:hint="eastAsia" w:ascii="宋体" w:hAnsi="??_GB2312" w:eastAsia="宋体" w:cs="宋体"/>
          <w:kern w:val="0"/>
          <w:sz w:val="28"/>
          <w:szCs w:val="28"/>
          <w:lang w:val="zh-CN"/>
        </w:rPr>
        <w:t>打印实训室、小小驿站</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快取快递实训室、商务创意设计实训室、物流供应链实训室，所有设备实训课程均能正常开出，整个新建实训基地可同时容纳</w:t>
      </w:r>
      <w:r>
        <w:rPr>
          <w:rFonts w:ascii="??_GB2312" w:hAnsi="??_GB2312" w:eastAsia="宋体" w:cs="??_GB2312"/>
          <w:kern w:val="0"/>
          <w:sz w:val="28"/>
          <w:szCs w:val="28"/>
        </w:rPr>
        <w:t>520</w:t>
      </w:r>
      <w:r>
        <w:rPr>
          <w:rFonts w:hint="eastAsia" w:ascii="宋体" w:hAnsi="??_GB2312" w:eastAsia="宋体" w:cs="宋体"/>
          <w:kern w:val="0"/>
          <w:sz w:val="28"/>
          <w:szCs w:val="28"/>
          <w:lang w:val="zh-CN"/>
        </w:rPr>
        <w:t>余人进行实验实训。</w:t>
      </w:r>
    </w:p>
    <w:p>
      <w:pPr>
        <w:autoSpaceDE w:val="0"/>
        <w:autoSpaceDN w:val="0"/>
        <w:adjustRightInd w:val="0"/>
        <w:spacing w:line="480" w:lineRule="exact"/>
        <w:ind w:firstLine="570"/>
        <w:outlineLvl w:val="0"/>
        <w:rPr>
          <w:rFonts w:ascii="??_GB2312" w:hAnsi="??_GB2312" w:eastAsia="宋体" w:cs="??_GB2312"/>
          <w:b/>
          <w:bCs/>
          <w:kern w:val="0"/>
          <w:sz w:val="28"/>
          <w:szCs w:val="28"/>
        </w:rPr>
      </w:pPr>
      <w:bookmarkStart w:id="187" w:name="_Toc8673"/>
      <w:bookmarkStart w:id="188" w:name="_Toc11338_WPSOffice_Level1"/>
      <w:bookmarkStart w:id="189" w:name="_Toc30277"/>
      <w:bookmarkStart w:id="190" w:name="_Toc4306_WPSOffice_Level1"/>
      <w:bookmarkStart w:id="191" w:name="_Toc20895"/>
      <w:r>
        <w:rPr>
          <w:rFonts w:hint="eastAsia" w:ascii="宋体" w:hAnsi="??_GB2312" w:eastAsia="宋体" w:cs="宋体"/>
          <w:b/>
          <w:bCs/>
          <w:kern w:val="0"/>
          <w:sz w:val="28"/>
          <w:szCs w:val="28"/>
          <w:lang w:val="zh-CN"/>
        </w:rPr>
        <w:t>七、特色创新</w:t>
      </w:r>
      <w:bookmarkEnd w:id="187"/>
      <w:bookmarkEnd w:id="188"/>
      <w:bookmarkEnd w:id="189"/>
      <w:bookmarkEnd w:id="190"/>
      <w:bookmarkEnd w:id="191"/>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反映学校特色和主要创新点：</w:t>
      </w:r>
    </w:p>
    <w:p>
      <w:pPr>
        <w:pStyle w:val="2"/>
        <w:spacing w:line="480" w:lineRule="exact"/>
        <w:ind w:firstLine="420"/>
        <w:rPr>
          <w:rFonts w:ascii="宋体" w:hAnsi="??_GB2312" w:eastAsia="宋体" w:cs="宋体"/>
          <w:b/>
          <w:bCs/>
          <w:kern w:val="0"/>
          <w:sz w:val="28"/>
          <w:szCs w:val="28"/>
          <w:lang w:val="zh-CN"/>
        </w:rPr>
      </w:pPr>
      <w:r>
        <w:rPr>
          <w:rFonts w:hint="eastAsia" w:ascii="宋体" w:hAnsi="??_GB2312" w:eastAsia="宋体" w:cs="宋体"/>
          <w:b/>
          <w:bCs/>
          <w:kern w:val="0"/>
          <w:sz w:val="28"/>
          <w:szCs w:val="28"/>
          <w:lang w:val="zh-CN"/>
        </w:rPr>
        <w:t>【案例一】</w:t>
      </w:r>
      <w:r>
        <w:rPr>
          <w:rFonts w:hint="eastAsia" w:ascii="宋体" w:hAnsi="宋体" w:eastAsia="宋体" w:cs="宋体"/>
          <w:b/>
          <w:bCs/>
          <w:sz w:val="28"/>
          <w:szCs w:val="28"/>
        </w:rPr>
        <w:t>现代学徒制——花开两枝</w:t>
      </w:r>
    </w:p>
    <w:p>
      <w:pPr>
        <w:spacing w:line="480" w:lineRule="exact"/>
        <w:ind w:firstLine="843" w:firstLineChars="300"/>
        <w:rPr>
          <w:rFonts w:ascii="宋体" w:hAnsi="宋体" w:eastAsia="宋体" w:cs="宋体"/>
          <w:b/>
          <w:bCs/>
          <w:sz w:val="28"/>
          <w:szCs w:val="28"/>
        </w:rPr>
      </w:pPr>
      <w:r>
        <w:rPr>
          <w:rFonts w:hint="eastAsia" w:ascii="宋体" w:hAnsi="宋体" w:eastAsia="宋体" w:cs="宋体"/>
          <w:b/>
          <w:bCs/>
          <w:sz w:val="28"/>
          <w:szCs w:val="28"/>
        </w:rPr>
        <w:t>物流服务与管理专业——苏州市首批现代学徒制试点</w:t>
      </w:r>
    </w:p>
    <w:p>
      <w:pPr>
        <w:spacing w:line="480" w:lineRule="exact"/>
        <w:ind w:firstLine="843" w:firstLineChars="300"/>
        <w:outlineLvl w:val="1"/>
        <w:rPr>
          <w:rFonts w:ascii="宋体" w:hAnsi="宋体" w:eastAsia="宋体" w:cs="宋体"/>
          <w:b/>
          <w:bCs/>
          <w:sz w:val="28"/>
          <w:szCs w:val="28"/>
        </w:rPr>
      </w:pPr>
      <w:bookmarkStart w:id="192" w:name="_Toc23100"/>
      <w:r>
        <w:rPr>
          <w:rFonts w:hint="eastAsia" w:ascii="宋体" w:hAnsi="宋体" w:eastAsia="宋体" w:cs="宋体"/>
          <w:b/>
          <w:bCs/>
          <w:sz w:val="28"/>
          <w:szCs w:val="28"/>
        </w:rPr>
        <w:t>1.完善人才培养方案，切合企业用人需求</w:t>
      </w:r>
      <w:bookmarkEnd w:id="192"/>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积极听取专业指导委员会的意见，对物流服务与管理专业的整体规划建设作出规划。由企业专家对人才培养方案的制定进行指导，校企双方以工学结合为切入点，以培养就业竞争能力和职业发展能力为目标，根据现代学徒制合作企业的用人需求和岗位资格标准，共同明确了人才的三个能力培养目标，即通用能力、专业能力和岗位能力。</w:t>
      </w:r>
    </w:p>
    <w:p>
      <w:pPr>
        <w:spacing w:line="480" w:lineRule="exact"/>
        <w:ind w:firstLine="843" w:firstLineChars="300"/>
        <w:outlineLvl w:val="1"/>
        <w:rPr>
          <w:rFonts w:ascii="宋体" w:hAnsi="宋体" w:eastAsia="宋体" w:cs="宋体"/>
          <w:b/>
          <w:bCs/>
          <w:sz w:val="28"/>
          <w:szCs w:val="28"/>
        </w:rPr>
      </w:pPr>
      <w:bookmarkStart w:id="193" w:name="_Toc28966"/>
      <w:r>
        <w:rPr>
          <w:rFonts w:hint="eastAsia" w:ascii="宋体" w:hAnsi="宋体" w:eastAsia="宋体" w:cs="宋体"/>
          <w:b/>
          <w:bCs/>
          <w:sz w:val="28"/>
          <w:szCs w:val="28"/>
        </w:rPr>
        <w:t>2.实施“四层递进”实践教学，强化岗位技能培养</w:t>
      </w:r>
      <w:bookmarkEnd w:id="193"/>
    </w:p>
    <w:p>
      <w:pPr>
        <w:autoSpaceDE w:val="0"/>
        <w:autoSpaceDN w:val="0"/>
        <w:adjustRightInd w:val="0"/>
        <w:spacing w:line="480" w:lineRule="exact"/>
        <w:ind w:firstLine="570"/>
        <w:rPr>
          <w:rFonts w:ascii="宋体" w:hAnsi="??_GB2312" w:eastAsia="宋体" w:cs="宋体"/>
          <w:kern w:val="0"/>
          <w:sz w:val="28"/>
          <w:szCs w:val="28"/>
        </w:rPr>
      </w:pPr>
      <w:r>
        <w:rPr>
          <w:sz w:val="28"/>
          <w:szCs w:val="28"/>
        </w:rPr>
        <w:drawing>
          <wp:anchor distT="0" distB="0" distL="114300" distR="114300" simplePos="0" relativeHeight="251664384" behindDoc="1" locked="0" layoutInCell="1" allowOverlap="1">
            <wp:simplePos x="0" y="0"/>
            <wp:positionH relativeFrom="column">
              <wp:posOffset>285750</wp:posOffset>
            </wp:positionH>
            <wp:positionV relativeFrom="paragraph">
              <wp:posOffset>2256790</wp:posOffset>
            </wp:positionV>
            <wp:extent cx="5031740" cy="2954020"/>
            <wp:effectExtent l="0" t="0" r="54610" b="55880"/>
            <wp:wrapTight wrapText="bothSides">
              <wp:wrapPolygon>
                <wp:start x="0" y="0"/>
                <wp:lineTo x="0" y="21451"/>
                <wp:lineTo x="21507" y="21451"/>
                <wp:lineTo x="21507"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031740" cy="2954020"/>
                    </a:xfrm>
                    <a:prstGeom prst="rect">
                      <a:avLst/>
                    </a:prstGeom>
                    <a:noFill/>
                    <a:ln>
                      <a:noFill/>
                    </a:ln>
                  </pic:spPr>
                </pic:pic>
              </a:graphicData>
            </a:graphic>
          </wp:anchor>
        </w:drawing>
      </w:r>
      <w:r>
        <w:rPr>
          <w:rFonts w:hint="eastAsia" w:ascii="宋体" w:hAnsi="??_GB2312" w:eastAsia="宋体" w:cs="宋体"/>
          <w:kern w:val="0"/>
          <w:sz w:val="28"/>
          <w:szCs w:val="28"/>
        </w:rPr>
        <w:t>在入学教育、军训、社会实践、毕业教育等公共实践环节和理实一体课程的基础上，实施“四层递进”系统化实践教学体系，强化实践能力培养。通过“基础技能实训→专项技能实训→综合技能实训→企业顶岗实习”四个主要实践教学层次，并搭建与之相适应的实践教学平台，通过实操训练，“递进”式提升学生职业能力。（详见图1）通过强化基础技能、专项技能和综合技能，学校和企业专兼职教师共同指导，为学生顺利进入校企实习基地顶岗实习打下坚实基础。</w:t>
      </w:r>
    </w:p>
    <w:p>
      <w:pPr>
        <w:spacing w:line="480" w:lineRule="exact"/>
        <w:rPr>
          <w:sz w:val="28"/>
          <w:szCs w:val="28"/>
        </w:rPr>
      </w:pPr>
    </w:p>
    <w:p>
      <w:pPr>
        <w:autoSpaceDE w:val="0"/>
        <w:autoSpaceDN w:val="0"/>
        <w:adjustRightInd w:val="0"/>
        <w:spacing w:line="480" w:lineRule="exact"/>
        <w:ind w:firstLine="570"/>
        <w:jc w:val="center"/>
        <w:rPr>
          <w:rFonts w:ascii="宋体" w:hAnsi="??_GB2312" w:eastAsia="宋体" w:cs="宋体"/>
          <w:kern w:val="0"/>
          <w:sz w:val="28"/>
          <w:szCs w:val="28"/>
        </w:rPr>
      </w:pPr>
      <w:r>
        <w:rPr>
          <w:rFonts w:hint="eastAsia" w:ascii="宋体" w:hAnsi="??_GB2312" w:eastAsia="宋体" w:cs="宋体"/>
          <w:kern w:val="0"/>
          <w:sz w:val="28"/>
          <w:szCs w:val="28"/>
        </w:rPr>
        <w:t>图“四层递进”系统化实践教学体系</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物流基础实训主要包括：手推车使用、手持使用、小推车使用、周转箱使用、录入单据、作业优化任务等方面，一般在第1、2学期进行。</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物流技能实训主要包括：入库作业实训、出库作业实训、电子拣选实训、运输作业实训。一般在第3、4学期进行。</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物流综合实训主要是现代物流综合作业实训，主要进行入库作业、出库作业、运输作业等操作，一般在第5学期进行。</w:t>
      </w:r>
    </w:p>
    <w:p>
      <w:pPr>
        <w:spacing w:line="480" w:lineRule="exact"/>
        <w:ind w:firstLine="480"/>
        <w:outlineLvl w:val="1"/>
        <w:rPr>
          <w:rFonts w:ascii="宋体" w:hAnsi="宋体" w:eastAsia="宋体" w:cs="宋体"/>
          <w:sz w:val="28"/>
          <w:szCs w:val="28"/>
        </w:rPr>
      </w:pPr>
      <w:bookmarkStart w:id="194" w:name="_Toc11881"/>
      <w:r>
        <w:rPr>
          <w:rFonts w:hint="eastAsia" w:ascii="宋体" w:hAnsi="宋体" w:cs="宋体"/>
          <w:b/>
          <w:bCs/>
          <w:color w:val="000000"/>
          <w:kern w:val="0"/>
          <w:sz w:val="28"/>
          <w:szCs w:val="28"/>
        </w:rPr>
        <w:t>3.重构专业核心课程体系，推行教学“双轨制”</w:t>
      </w:r>
      <w:bookmarkEnd w:id="194"/>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在人才培养目标的指导下，由职教专家、企业与学校、教师与师傅的共同参与，按照“企业用人需求与岗位资格标准”来设置课程，重构基于工作过程的专业核心课程，实现专业核心课程与核心职业岗位对接。根据物流专业核心职业岗位---仓管员、操作员和单证员的要求，对物流工作过程及其典型工作任务进行分析，确定完成工作任务需具备的职业素质和职业能力，根据认知及职业成长规律重构转换为专业核心课程。主要开设课程：《现代物流基础》《物流运输作业实务》《仓储作业实务》《物流设施设备》《物流信息技术》《货物认知与养护》《物流营销实务》等。</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在每学期邀请京东企业讲师为学生讲解京东课程，在第一学期带领学生初步认识京东、京东物流。引导学生了解、认同京东价值观。以京东的人才素质模型为导向，帮助学生做好学业、职业生涯规划。引入京东课程：《京东公司》、《京东文化》、《如何成为Jder-京东班学生发展路径介绍》、《拥抱物流》、《职场中的第二种语言-电子邮件》。</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第二学期帮助学生了解京东仓储的各工作环节，帮助学生初步掌握重点岗位的操作流程。引入京东课程：《京东物流各部门概况》、《生产岗岗位手册》、《非生产产岗岗位手册》、《基于DiSC0的沟通及合作技巧》。</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第三学期帮助学生了解京东工作的基本工作逻辑，帮助学生提高问题解决能力、工作分析能力。引入京东课程：《八大浪费》、《5S现场管理》、《MTP-管理基础知识培训》、《结构性思维》。</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第四学期帮助学生深入理解工作现场管理的基本原理，培养学生担任一线主管所需的基础能力，提升学生的工作意识、与工作能力。引入京东课程：《QC七大手法-鱼骨图法》、《班组长日常管理》、《客户体验提升法则》、《谁的青春不迷茫-从校园人到京东人》。</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在教学组织形式上采用灵活的“双轨制”，充分利用资源。特别是在第五、六学期，选拔学生分批轮换进入京东企业顶岗实习，上课和实习交替进行。这样使得教学资源和师资资源得到充分利用，也更符合中职学校的实际。</w:t>
      </w:r>
    </w:p>
    <w:p>
      <w:pPr>
        <w:autoSpaceDE w:val="0"/>
        <w:autoSpaceDN w:val="0"/>
        <w:adjustRightInd w:val="0"/>
        <w:spacing w:line="480" w:lineRule="exact"/>
        <w:ind w:firstLine="570"/>
        <w:rPr>
          <w:rFonts w:ascii="宋体" w:hAnsi="??_GB2312" w:eastAsia="宋体" w:cs="宋体"/>
          <w:kern w:val="0"/>
          <w:sz w:val="28"/>
          <w:szCs w:val="28"/>
        </w:rPr>
      </w:pPr>
      <w:r>
        <w:rPr>
          <w:rFonts w:hint="eastAsia" w:eastAsia="宋体"/>
        </w:rPr>
        <w:drawing>
          <wp:anchor distT="0" distB="0" distL="114300" distR="114300" simplePos="0" relativeHeight="251662336" behindDoc="1" locked="0" layoutInCell="1" allowOverlap="1">
            <wp:simplePos x="0" y="0"/>
            <wp:positionH relativeFrom="column">
              <wp:posOffset>-285750</wp:posOffset>
            </wp:positionH>
            <wp:positionV relativeFrom="paragraph">
              <wp:posOffset>90805</wp:posOffset>
            </wp:positionV>
            <wp:extent cx="4833620" cy="3625215"/>
            <wp:effectExtent l="0" t="0" r="43180" b="51435"/>
            <wp:wrapTight wrapText="bothSides">
              <wp:wrapPolygon>
                <wp:start x="0" y="0"/>
                <wp:lineTo x="0" y="21452"/>
                <wp:lineTo x="21538" y="21452"/>
                <wp:lineTo x="21538" y="0"/>
                <wp:lineTo x="0" y="0"/>
              </wp:wrapPolygon>
            </wp:wrapTight>
            <wp:docPr id="5" name="图片 2" descr="IMG_20201026_0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0201026_080751"/>
                    <pic:cNvPicPr>
                      <a:picLocks noChangeAspect="1"/>
                    </pic:cNvPicPr>
                  </pic:nvPicPr>
                  <pic:blipFill>
                    <a:blip r:embed="rId13"/>
                    <a:stretch>
                      <a:fillRect/>
                    </a:stretch>
                  </pic:blipFill>
                  <pic:spPr>
                    <a:xfrm>
                      <a:off x="0" y="0"/>
                      <a:ext cx="4833620" cy="3625215"/>
                    </a:xfrm>
                    <a:prstGeom prst="rect">
                      <a:avLst/>
                    </a:prstGeom>
                    <a:noFill/>
                    <a:ln>
                      <a:noFill/>
                    </a:ln>
                  </pic:spPr>
                </pic:pic>
              </a:graphicData>
            </a:graphic>
          </wp:anchor>
        </w:drawing>
      </w:r>
    </w:p>
    <w:p>
      <w:pPr>
        <w:autoSpaceDE w:val="0"/>
        <w:autoSpaceDN w:val="0"/>
        <w:adjustRightInd w:val="0"/>
        <w:spacing w:line="480" w:lineRule="exact"/>
        <w:ind w:firstLine="570"/>
        <w:rPr>
          <w:rFonts w:ascii="宋体" w:hAnsi="??_GB2312" w:eastAsia="宋体" w:cs="宋体"/>
          <w:kern w:val="0"/>
          <w:sz w:val="28"/>
          <w:szCs w:val="28"/>
        </w:rPr>
      </w:pPr>
    </w:p>
    <w:p>
      <w:pPr>
        <w:autoSpaceDE w:val="0"/>
        <w:autoSpaceDN w:val="0"/>
        <w:adjustRightInd w:val="0"/>
        <w:spacing w:line="480" w:lineRule="exact"/>
        <w:ind w:firstLine="570"/>
        <w:rPr>
          <w:rFonts w:ascii="宋体" w:hAnsi="??_GB2312" w:eastAsia="宋体" w:cs="宋体"/>
          <w:kern w:val="0"/>
          <w:sz w:val="28"/>
          <w:szCs w:val="28"/>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r>
        <w:rPr>
          <w:rFonts w:hint="eastAsia" w:eastAsia="宋体"/>
        </w:rPr>
        <w:drawing>
          <wp:anchor distT="0" distB="0" distL="114300" distR="114300" simplePos="0" relativeHeight="251659264" behindDoc="1" locked="0" layoutInCell="1" allowOverlap="1">
            <wp:simplePos x="0" y="0"/>
            <wp:positionH relativeFrom="column">
              <wp:posOffset>-3331845</wp:posOffset>
            </wp:positionH>
            <wp:positionV relativeFrom="paragraph">
              <wp:posOffset>-7157720</wp:posOffset>
            </wp:positionV>
            <wp:extent cx="5384165" cy="4037965"/>
            <wp:effectExtent l="0" t="0" r="0" b="0"/>
            <wp:wrapTight wrapText="bothSides">
              <wp:wrapPolygon>
                <wp:start x="0" y="0"/>
                <wp:lineTo x="0" y="21501"/>
                <wp:lineTo x="21552" y="21501"/>
                <wp:lineTo x="21552" y="0"/>
                <wp:lineTo x="0" y="0"/>
              </wp:wrapPolygon>
            </wp:wrapTight>
            <wp:docPr id="6" name="图片 3" descr="IMG_20201023_13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0201023_134307"/>
                    <pic:cNvPicPr>
                      <a:picLocks noChangeAspect="1"/>
                    </pic:cNvPicPr>
                  </pic:nvPicPr>
                  <pic:blipFill>
                    <a:blip r:embed="rId14"/>
                    <a:stretch>
                      <a:fillRect/>
                    </a:stretch>
                  </pic:blipFill>
                  <pic:spPr>
                    <a:xfrm>
                      <a:off x="0" y="0"/>
                      <a:ext cx="5384165" cy="4037965"/>
                    </a:xfrm>
                    <a:prstGeom prst="rect">
                      <a:avLst/>
                    </a:prstGeom>
                    <a:noFill/>
                    <a:ln>
                      <a:noFill/>
                    </a:ln>
                  </pic:spPr>
                </pic:pic>
              </a:graphicData>
            </a:graphic>
          </wp:anchor>
        </w:drawing>
      </w: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r>
        <w:rPr>
          <w:rFonts w:hint="eastAsia" w:eastAsia="宋体"/>
        </w:rPr>
        <w:drawing>
          <wp:anchor distT="0" distB="0" distL="114300" distR="114300" simplePos="0" relativeHeight="251660288" behindDoc="1" locked="0" layoutInCell="1" allowOverlap="1">
            <wp:simplePos x="0" y="0"/>
            <wp:positionH relativeFrom="column">
              <wp:posOffset>287655</wp:posOffset>
            </wp:positionH>
            <wp:positionV relativeFrom="paragraph">
              <wp:posOffset>52705</wp:posOffset>
            </wp:positionV>
            <wp:extent cx="5041900" cy="3782060"/>
            <wp:effectExtent l="0" t="0" r="0" b="0"/>
            <wp:wrapTight wrapText="bothSides">
              <wp:wrapPolygon>
                <wp:start x="0" y="0"/>
                <wp:lineTo x="0" y="21542"/>
                <wp:lineTo x="21546" y="21542"/>
                <wp:lineTo x="21546" y="0"/>
                <wp:lineTo x="0" y="0"/>
              </wp:wrapPolygon>
            </wp:wrapTight>
            <wp:docPr id="7" name="图片 4" descr="IMG_20201023_13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0201023_132512"/>
                    <pic:cNvPicPr>
                      <a:picLocks noChangeAspect="1"/>
                    </pic:cNvPicPr>
                  </pic:nvPicPr>
                  <pic:blipFill>
                    <a:blip r:embed="rId15"/>
                    <a:stretch>
                      <a:fillRect/>
                    </a:stretch>
                  </pic:blipFill>
                  <pic:spPr>
                    <a:xfrm>
                      <a:off x="0" y="0"/>
                      <a:ext cx="5041900" cy="3782060"/>
                    </a:xfrm>
                    <a:prstGeom prst="rect">
                      <a:avLst/>
                    </a:prstGeom>
                    <a:noFill/>
                    <a:ln>
                      <a:noFill/>
                    </a:ln>
                  </pic:spPr>
                </pic:pic>
              </a:graphicData>
            </a:graphic>
          </wp:anchor>
        </w:drawing>
      </w: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autoSpaceDE w:val="0"/>
        <w:autoSpaceDN w:val="0"/>
        <w:adjustRightInd w:val="0"/>
        <w:spacing w:line="480" w:lineRule="exact"/>
        <w:ind w:firstLine="570"/>
        <w:rPr>
          <w:rFonts w:ascii="宋体" w:hAnsi="宋体" w:eastAsia="宋体" w:cs="宋体"/>
          <w:b/>
          <w:bCs/>
          <w:sz w:val="28"/>
          <w:szCs w:val="28"/>
        </w:rPr>
      </w:pPr>
      <w:r>
        <w:rPr>
          <w:rFonts w:hint="eastAsia" w:eastAsia="宋体"/>
        </w:rPr>
        <w:drawing>
          <wp:anchor distT="0" distB="0" distL="114300" distR="114300" simplePos="0" relativeHeight="251661312" behindDoc="1" locked="0" layoutInCell="1" allowOverlap="1">
            <wp:simplePos x="0" y="0"/>
            <wp:positionH relativeFrom="column">
              <wp:posOffset>18415</wp:posOffset>
            </wp:positionH>
            <wp:positionV relativeFrom="paragraph">
              <wp:posOffset>190500</wp:posOffset>
            </wp:positionV>
            <wp:extent cx="5301615" cy="2981960"/>
            <wp:effectExtent l="0" t="0" r="13335" b="8890"/>
            <wp:wrapTight wrapText="bothSides">
              <wp:wrapPolygon>
                <wp:start x="0" y="0"/>
                <wp:lineTo x="0" y="21526"/>
                <wp:lineTo x="21499" y="21526"/>
                <wp:lineTo x="21499" y="0"/>
                <wp:lineTo x="0" y="0"/>
              </wp:wrapPolygon>
            </wp:wrapTight>
            <wp:docPr id="8" name="图片 5" descr="学生企业实习照片京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生企业实习照片京东1"/>
                    <pic:cNvPicPr>
                      <a:picLocks noChangeAspect="1"/>
                    </pic:cNvPicPr>
                  </pic:nvPicPr>
                  <pic:blipFill>
                    <a:blip r:embed="rId16"/>
                    <a:stretch>
                      <a:fillRect/>
                    </a:stretch>
                  </pic:blipFill>
                  <pic:spPr>
                    <a:xfrm>
                      <a:off x="0" y="0"/>
                      <a:ext cx="5301615" cy="2981960"/>
                    </a:xfrm>
                    <a:prstGeom prst="rect">
                      <a:avLst/>
                    </a:prstGeom>
                    <a:noFill/>
                    <a:ln>
                      <a:noFill/>
                    </a:ln>
                  </pic:spPr>
                </pic:pic>
              </a:graphicData>
            </a:graphic>
          </wp:anchor>
        </w:drawing>
      </w:r>
      <w:r>
        <w:rPr>
          <w:rFonts w:hint="eastAsia" w:ascii="宋体" w:hAnsi="宋体" w:eastAsia="宋体" w:cs="宋体"/>
          <w:b/>
          <w:bCs/>
          <w:sz w:val="28"/>
          <w:szCs w:val="28"/>
        </w:rPr>
        <w:t>高星级饭店运营与管理专业——再添苏州市现代学徒制试点</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该专业专业建设以 “重交流、促发展”为要求，与昆山花桥中城假日酒店形成了校企合作的良好关系。</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现代学徒制实行交替式的培训和学习，倡导学校、企业深度合作，教师、酒店师傅联合传授，是对目前我校“订单式”人才培养模式的一种递进，该项目的实施符合昆山以及花桥国际商务城区域经济发展的要求。通过现代学徒制建设，校企共同研究制定符合企业需求的实施性人才培养方案，可以及时将中城假日酒店的管理新模式、新规范引入专业日常教学标准中，培养出满足社会需求的人才就需要创新人才培养模式，促进校企深度融合。通过不断探索校外合作的自主创新，注重提升核心竞争力，努力提高专业教育水平，力争培育技术过硬、素质全面、符合时代要求的旅游专业人才。</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通过校企合作使企业得到人才，学生得到技能，学校得到发展；从而实现学校与企业"优势互补、资源共享、互惠互利、共同发展"的双赢结果。</w:t>
      </w:r>
    </w:p>
    <w:p>
      <w:pPr>
        <w:autoSpaceDE w:val="0"/>
        <w:autoSpaceDN w:val="0"/>
        <w:adjustRightInd w:val="0"/>
        <w:spacing w:line="480" w:lineRule="exact"/>
        <w:ind w:firstLine="570"/>
        <w:rPr>
          <w:rFonts w:ascii="宋体" w:hAnsi="??_GB2312" w:eastAsia="宋体" w:cs="宋体"/>
          <w:kern w:val="0"/>
          <w:sz w:val="28"/>
          <w:szCs w:val="28"/>
        </w:rPr>
      </w:pPr>
      <w:r>
        <w:rPr>
          <w:rFonts w:hint="eastAsia" w:ascii="Arial" w:hAnsi="Arial" w:eastAsia="仿宋_GB2312" w:cs="Arial"/>
          <w:color w:val="191919"/>
          <w:sz w:val="24"/>
          <w:shd w:val="clear" w:color="auto" w:fill="FFFFFF"/>
        </w:rPr>
        <w:drawing>
          <wp:anchor distT="0" distB="0" distL="114300" distR="114300" simplePos="0" relativeHeight="251663360" behindDoc="1" locked="0" layoutInCell="1" allowOverlap="1">
            <wp:simplePos x="0" y="0"/>
            <wp:positionH relativeFrom="column">
              <wp:posOffset>381000</wp:posOffset>
            </wp:positionH>
            <wp:positionV relativeFrom="paragraph">
              <wp:posOffset>196215</wp:posOffset>
            </wp:positionV>
            <wp:extent cx="4521200" cy="2967355"/>
            <wp:effectExtent l="0" t="0" r="50800" b="61595"/>
            <wp:wrapTight wrapText="bothSides">
              <wp:wrapPolygon>
                <wp:start x="0" y="0"/>
                <wp:lineTo x="0" y="21494"/>
                <wp:lineTo x="21479" y="21494"/>
                <wp:lineTo x="21479" y="0"/>
                <wp:lineTo x="0" y="0"/>
              </wp:wrapPolygon>
            </wp:wrapTight>
            <wp:docPr id="9"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7"/>
                    <pic:cNvPicPr>
                      <a:picLocks noChangeAspect="1"/>
                    </pic:cNvPicPr>
                  </pic:nvPicPr>
                  <pic:blipFill>
                    <a:blip r:embed="rId17">
                      <a:lum bright="6000" contrast="6000"/>
                    </a:blip>
                    <a:srcRect t="12538"/>
                    <a:stretch>
                      <a:fillRect/>
                    </a:stretch>
                  </pic:blipFill>
                  <pic:spPr>
                    <a:xfrm>
                      <a:off x="0" y="0"/>
                      <a:ext cx="4521200" cy="2967355"/>
                    </a:xfrm>
                    <a:prstGeom prst="rect">
                      <a:avLst/>
                    </a:prstGeom>
                    <a:noFill/>
                    <a:ln>
                      <a:noFill/>
                    </a:ln>
                  </pic:spPr>
                </pic:pic>
              </a:graphicData>
            </a:graphic>
          </wp:anchor>
        </w:drawing>
      </w:r>
    </w:p>
    <w:p>
      <w:pPr>
        <w:spacing w:line="480" w:lineRule="exact"/>
        <w:ind w:firstLine="480" w:firstLineChars="200"/>
        <w:rPr>
          <w:rFonts w:ascii="Arial" w:hAnsi="Arial" w:eastAsia="仿宋_GB2312" w:cs="Arial"/>
          <w:color w:val="191919"/>
          <w:sz w:val="24"/>
          <w:shd w:val="clear" w:color="auto" w:fill="FFFFFF"/>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宋体" w:hAnsi="宋体" w:eastAsia="宋体" w:cs="宋体"/>
          <w:kern w:val="0"/>
          <w:szCs w:val="21"/>
        </w:rPr>
      </w:pPr>
    </w:p>
    <w:p>
      <w:pPr>
        <w:spacing w:line="480" w:lineRule="exact"/>
        <w:jc w:val="center"/>
        <w:rPr>
          <w:rFonts w:ascii="宋体" w:hAnsi="??_GB2312" w:eastAsia="宋体" w:cs="宋体"/>
          <w:b/>
          <w:bCs/>
          <w:kern w:val="0"/>
          <w:sz w:val="28"/>
          <w:szCs w:val="28"/>
          <w:lang w:val="zh-CN"/>
        </w:rPr>
      </w:pPr>
      <w:r>
        <w:rPr>
          <w:rFonts w:hint="eastAsia" w:ascii="宋体" w:hAnsi="宋体" w:eastAsia="宋体" w:cs="宋体"/>
          <w:kern w:val="0"/>
          <w:szCs w:val="21"/>
        </w:rPr>
        <w:t>（图1：</w:t>
      </w:r>
      <w:r>
        <w:rPr>
          <w:rFonts w:hint="eastAsia" w:ascii="宋体" w:hAnsi="宋体" w:eastAsia="宋体" w:cs="宋体"/>
          <w:szCs w:val="21"/>
        </w:rPr>
        <w:t>专业教师与昆山花桥中城假日酒店人事经理赵静合影</w:t>
      </w:r>
      <w:r>
        <w:rPr>
          <w:rFonts w:hint="eastAsia" w:ascii="宋体" w:hAnsi="宋体" w:eastAsia="宋体" w:cs="宋体"/>
          <w:kern w:val="0"/>
          <w:szCs w:val="21"/>
        </w:rPr>
        <w:t>）</w:t>
      </w:r>
    </w:p>
    <w:p>
      <w:pPr>
        <w:autoSpaceDE w:val="0"/>
        <w:autoSpaceDN w:val="0"/>
        <w:adjustRightInd w:val="0"/>
        <w:spacing w:line="480" w:lineRule="exact"/>
        <w:ind w:firstLine="570"/>
        <w:rPr>
          <w:rFonts w:ascii="宋体" w:hAnsi="??_GB2312" w:eastAsia="宋体" w:cs="宋体"/>
          <w:b/>
          <w:bCs/>
          <w:kern w:val="0"/>
          <w:sz w:val="28"/>
          <w:szCs w:val="28"/>
          <w:lang w:val="zh-CN"/>
        </w:rPr>
      </w:pPr>
      <w:r>
        <w:rPr>
          <w:rFonts w:hint="eastAsia" w:ascii="Arial" w:hAnsi="Arial" w:cs="Arial"/>
          <w:color w:val="191919"/>
          <w:sz w:val="24"/>
          <w:shd w:val="clear" w:color="auto" w:fill="FFFFFF"/>
        </w:rPr>
        <w:drawing>
          <wp:anchor distT="0" distB="0" distL="114300" distR="114300" simplePos="0" relativeHeight="251663360" behindDoc="1" locked="0" layoutInCell="1" allowOverlap="1">
            <wp:simplePos x="0" y="0"/>
            <wp:positionH relativeFrom="column">
              <wp:posOffset>266700</wp:posOffset>
            </wp:positionH>
            <wp:positionV relativeFrom="paragraph">
              <wp:posOffset>38735</wp:posOffset>
            </wp:positionV>
            <wp:extent cx="4568825" cy="3427095"/>
            <wp:effectExtent l="0" t="0" r="41275" b="40005"/>
            <wp:wrapTight wrapText="bothSides">
              <wp:wrapPolygon>
                <wp:start x="0" y="0"/>
                <wp:lineTo x="0" y="21492"/>
                <wp:lineTo x="21525" y="21492"/>
                <wp:lineTo x="21525" y="0"/>
                <wp:lineTo x="0" y="0"/>
              </wp:wrapPolygon>
            </wp:wrapTight>
            <wp:docPr id="10"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2"/>
                    <pic:cNvPicPr>
                      <a:picLocks noChangeAspect="1"/>
                    </pic:cNvPicPr>
                  </pic:nvPicPr>
                  <pic:blipFill>
                    <a:blip r:embed="rId18">
                      <a:lum bright="6000" contrast="6000"/>
                    </a:blip>
                    <a:stretch>
                      <a:fillRect/>
                    </a:stretch>
                  </pic:blipFill>
                  <pic:spPr>
                    <a:xfrm>
                      <a:off x="0" y="0"/>
                      <a:ext cx="4568825" cy="3427095"/>
                    </a:xfrm>
                    <a:prstGeom prst="rect">
                      <a:avLst/>
                    </a:prstGeom>
                    <a:noFill/>
                    <a:ln>
                      <a:noFill/>
                    </a:ln>
                  </pic:spPr>
                </pic:pic>
              </a:graphicData>
            </a:graphic>
          </wp:anchor>
        </w:drawing>
      </w:r>
    </w:p>
    <w:p>
      <w:pPr>
        <w:spacing w:line="480" w:lineRule="exact"/>
        <w:rPr>
          <w:rFonts w:ascii="Arial" w:hAnsi="Arial" w:cs="Arial"/>
          <w:color w:val="191919"/>
          <w:sz w:val="24"/>
          <w:shd w:val="clear" w:color="auto" w:fill="FFFFFF"/>
        </w:rPr>
      </w:pPr>
      <w:r>
        <w:rPr>
          <w:rFonts w:hint="eastAsia" w:ascii="Arial" w:hAnsi="Arial" w:cs="Arial"/>
          <w:color w:val="191919"/>
          <w:sz w:val="24"/>
          <w:shd w:val="clear" w:color="auto" w:fill="FFFFFF"/>
        </w:rPr>
        <w:t xml:space="preserve">  </w:t>
      </w:r>
    </w:p>
    <w:p>
      <w:pPr>
        <w:spacing w:line="480" w:lineRule="exact"/>
        <w:rPr>
          <w:rFonts w:ascii="Arial" w:hAnsi="Arial" w:cs="Arial"/>
          <w:color w:val="191919"/>
          <w:sz w:val="24"/>
          <w:shd w:val="clear" w:color="auto" w:fill="FFFFFF"/>
        </w:rPr>
      </w:pPr>
    </w:p>
    <w:p>
      <w:pPr>
        <w:spacing w:line="480" w:lineRule="exact"/>
        <w:rPr>
          <w:rFonts w:ascii="Arial" w:hAnsi="Arial" w:cs="Arial"/>
          <w:color w:val="191919"/>
          <w:sz w:val="24"/>
          <w:shd w:val="clear" w:color="auto" w:fill="FFFFFF"/>
        </w:rPr>
      </w:pPr>
    </w:p>
    <w:p>
      <w:pPr>
        <w:spacing w:line="480" w:lineRule="exact"/>
        <w:rPr>
          <w:rFonts w:ascii="Arial" w:hAnsi="Arial" w:cs="Arial"/>
          <w:color w:val="191919"/>
          <w:sz w:val="24"/>
          <w:shd w:val="clear" w:color="auto" w:fill="FFFFFF"/>
        </w:rPr>
      </w:pPr>
    </w:p>
    <w:p>
      <w:pPr>
        <w:spacing w:line="480" w:lineRule="exact"/>
        <w:rPr>
          <w:rFonts w:ascii="Arial" w:hAnsi="Arial" w:cs="Arial"/>
          <w:color w:val="191919"/>
          <w:sz w:val="24"/>
          <w:shd w:val="clear" w:color="auto" w:fill="FFFFFF"/>
        </w:rPr>
      </w:pPr>
    </w:p>
    <w:p>
      <w:pPr>
        <w:spacing w:line="480" w:lineRule="exact"/>
        <w:rPr>
          <w:rFonts w:ascii="Arial" w:hAnsi="Arial" w:cs="Arial"/>
          <w:color w:val="191919"/>
          <w:sz w:val="24"/>
          <w:shd w:val="clear" w:color="auto" w:fill="FFFFFF"/>
        </w:rPr>
      </w:pPr>
    </w:p>
    <w:p>
      <w:pPr>
        <w:spacing w:line="480" w:lineRule="exact"/>
        <w:rPr>
          <w:rFonts w:ascii="Arial" w:hAnsi="Arial" w:cs="Arial"/>
          <w:color w:val="191919"/>
          <w:sz w:val="24"/>
          <w:shd w:val="clear" w:color="auto" w:fill="FFFFFF"/>
        </w:rPr>
      </w:pPr>
    </w:p>
    <w:p>
      <w:pPr>
        <w:autoSpaceDE w:val="0"/>
        <w:autoSpaceDN w:val="0"/>
        <w:adjustRightInd w:val="0"/>
        <w:spacing w:line="480" w:lineRule="exact"/>
        <w:ind w:firstLine="570"/>
        <w:rPr>
          <w:rFonts w:ascii="宋体" w:hAnsi="??_GB2312" w:eastAsia="宋体" w:cs="宋体"/>
          <w:b/>
          <w:bCs/>
          <w:kern w:val="0"/>
          <w:sz w:val="28"/>
          <w:szCs w:val="28"/>
          <w:lang w:val="zh-CN"/>
        </w:rPr>
      </w:pPr>
    </w:p>
    <w:p>
      <w:pPr>
        <w:spacing w:line="480" w:lineRule="exact"/>
        <w:rPr>
          <w:rFonts w:ascii="宋体" w:hAnsi="宋体" w:eastAsia="宋体" w:cs="宋体"/>
          <w:kern w:val="0"/>
          <w:sz w:val="28"/>
          <w:szCs w:val="28"/>
        </w:rPr>
      </w:pPr>
      <w:r>
        <w:rPr>
          <w:rFonts w:hint="eastAsia" w:ascii="宋体" w:hAnsi="宋体" w:eastAsia="宋体" w:cs="宋体"/>
          <w:kern w:val="0"/>
          <w:sz w:val="28"/>
          <w:szCs w:val="28"/>
        </w:rPr>
        <w:t xml:space="preserve"> </w:t>
      </w:r>
    </w:p>
    <w:p>
      <w:pPr>
        <w:spacing w:line="480" w:lineRule="exact"/>
        <w:ind w:firstLine="420" w:firstLineChars="200"/>
        <w:jc w:val="center"/>
        <w:rPr>
          <w:rFonts w:ascii="宋体" w:hAnsi="宋体" w:eastAsia="宋体" w:cs="宋体"/>
          <w:kern w:val="0"/>
          <w:szCs w:val="21"/>
        </w:rPr>
      </w:pPr>
    </w:p>
    <w:p>
      <w:pPr>
        <w:spacing w:line="480" w:lineRule="exact"/>
        <w:ind w:firstLine="420" w:firstLineChars="200"/>
        <w:jc w:val="center"/>
        <w:rPr>
          <w:rFonts w:ascii="Arial" w:hAnsi="Arial" w:cs="Arial"/>
          <w:color w:val="191919"/>
          <w:szCs w:val="21"/>
          <w:shd w:val="clear" w:color="auto" w:fill="FFFFFF"/>
        </w:rPr>
      </w:pPr>
      <w:r>
        <w:rPr>
          <w:rFonts w:hint="eastAsia" w:ascii="宋体" w:hAnsi="宋体" w:eastAsia="宋体" w:cs="宋体"/>
          <w:kern w:val="0"/>
          <w:szCs w:val="21"/>
        </w:rPr>
        <w:t>（图2：</w:t>
      </w:r>
      <w:r>
        <w:rPr>
          <w:rFonts w:hint="eastAsia" w:ascii="宋体" w:hAnsi="宋体" w:eastAsia="宋体" w:cs="宋体"/>
          <w:szCs w:val="21"/>
        </w:rPr>
        <w:t>实习学生在昆山花桥中城假日酒店学习餐饮工作</w:t>
      </w:r>
      <w:r>
        <w:rPr>
          <w:rFonts w:hint="eastAsia" w:ascii="宋体" w:hAnsi="宋体" w:eastAsia="宋体" w:cs="宋体"/>
          <w:kern w:val="0"/>
          <w:szCs w:val="21"/>
        </w:rPr>
        <w:t>）</w:t>
      </w:r>
    </w:p>
    <w:p>
      <w:pPr>
        <w:autoSpaceDE w:val="0"/>
        <w:autoSpaceDN w:val="0"/>
        <w:adjustRightInd w:val="0"/>
        <w:spacing w:line="480" w:lineRule="exact"/>
        <w:ind w:firstLine="570"/>
        <w:rPr>
          <w:rFonts w:ascii="宋体" w:hAnsi="??_GB2312" w:eastAsia="宋体" w:cs="宋体"/>
          <w:b/>
          <w:bCs/>
          <w:kern w:val="0"/>
          <w:sz w:val="28"/>
          <w:szCs w:val="28"/>
          <w:lang w:val="zh-CN"/>
        </w:rPr>
      </w:pPr>
      <w:r>
        <w:rPr>
          <w:rFonts w:hint="eastAsia" w:ascii="宋体" w:hAnsi="宋体" w:eastAsia="宋体" w:cs="宋体"/>
          <w:kern w:val="0"/>
          <w:sz w:val="28"/>
          <w:szCs w:val="28"/>
        </w:rPr>
        <w:drawing>
          <wp:anchor distT="0" distB="0" distL="114300" distR="114300" simplePos="0" relativeHeight="251665408" behindDoc="1" locked="0" layoutInCell="1" allowOverlap="1">
            <wp:simplePos x="0" y="0"/>
            <wp:positionH relativeFrom="column">
              <wp:posOffset>3175</wp:posOffset>
            </wp:positionH>
            <wp:positionV relativeFrom="paragraph">
              <wp:posOffset>215265</wp:posOffset>
            </wp:positionV>
            <wp:extent cx="5095875" cy="3822700"/>
            <wp:effectExtent l="0" t="0" r="9525" b="6350"/>
            <wp:wrapTight wrapText="bothSides">
              <wp:wrapPolygon>
                <wp:start x="0" y="0"/>
                <wp:lineTo x="0" y="21528"/>
                <wp:lineTo x="21560" y="21528"/>
                <wp:lineTo x="21560" y="0"/>
                <wp:lineTo x="0" y="0"/>
              </wp:wrapPolygon>
            </wp:wrapTight>
            <wp:docPr id="11"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0"/>
                    <pic:cNvPicPr>
                      <a:picLocks noChangeAspect="1"/>
                    </pic:cNvPicPr>
                  </pic:nvPicPr>
                  <pic:blipFill>
                    <a:blip r:embed="rId19">
                      <a:lum contrast="11999"/>
                    </a:blip>
                    <a:stretch>
                      <a:fillRect/>
                    </a:stretch>
                  </pic:blipFill>
                  <pic:spPr>
                    <a:xfrm>
                      <a:off x="0" y="0"/>
                      <a:ext cx="5095875" cy="3822700"/>
                    </a:xfrm>
                    <a:prstGeom prst="rect">
                      <a:avLst/>
                    </a:prstGeom>
                    <a:noFill/>
                    <a:ln>
                      <a:noFill/>
                    </a:ln>
                  </pic:spPr>
                </pic:pic>
              </a:graphicData>
            </a:graphic>
          </wp:anchor>
        </w:drawing>
      </w:r>
    </w:p>
    <w:p>
      <w:pPr>
        <w:autoSpaceDE w:val="0"/>
        <w:autoSpaceDN w:val="0"/>
        <w:adjustRightInd w:val="0"/>
        <w:spacing w:line="480" w:lineRule="exact"/>
        <w:ind w:firstLine="570"/>
        <w:rPr>
          <w:rFonts w:ascii="宋体" w:hAnsi="??_GB2312" w:eastAsia="宋体" w:cs="宋体"/>
          <w:b/>
          <w:bCs/>
          <w:kern w:val="0"/>
          <w:sz w:val="28"/>
          <w:szCs w:val="28"/>
          <w:lang w:val="zh-CN"/>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p>
    <w:p>
      <w:pPr>
        <w:spacing w:line="48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（图3：</w:t>
      </w:r>
      <w:r>
        <w:rPr>
          <w:rFonts w:hint="eastAsia" w:ascii="宋体" w:hAnsi="宋体" w:eastAsia="宋体" w:cs="宋体"/>
          <w:szCs w:val="21"/>
        </w:rPr>
        <w:t>专业教师与昆山花桥中城假日酒店客房部实习学生合影</w:t>
      </w:r>
      <w:r>
        <w:rPr>
          <w:rFonts w:hint="eastAsia" w:ascii="宋体" w:hAnsi="宋体" w:eastAsia="宋体" w:cs="宋体"/>
          <w:kern w:val="0"/>
          <w:szCs w:val="21"/>
        </w:rPr>
        <w:t>）</w:t>
      </w:r>
    </w:p>
    <w:p>
      <w:pPr>
        <w:autoSpaceDE w:val="0"/>
        <w:autoSpaceDN w:val="0"/>
        <w:adjustRightInd w:val="0"/>
        <w:spacing w:line="480" w:lineRule="exact"/>
        <w:ind w:firstLine="570"/>
        <w:rPr>
          <w:rFonts w:ascii="宋体" w:hAnsi="宋体" w:eastAsia="宋体" w:cs="宋体"/>
          <w:b/>
          <w:bCs/>
          <w:sz w:val="32"/>
          <w:szCs w:val="32"/>
        </w:rPr>
      </w:pPr>
      <w:r>
        <w:rPr>
          <w:rFonts w:hint="eastAsia" w:ascii="宋体" w:hAnsi="??_GB2312" w:eastAsia="宋体" w:cs="宋体"/>
          <w:b/>
          <w:bCs/>
          <w:kern w:val="0"/>
          <w:sz w:val="28"/>
          <w:szCs w:val="28"/>
          <w:lang w:val="zh-CN"/>
        </w:rPr>
        <w:t>【案例二】学校心理特色</w:t>
      </w:r>
      <w:r>
        <w:rPr>
          <w:rFonts w:ascii="宋体" w:hAnsi="??_GB2312" w:eastAsia="宋体" w:cs="宋体"/>
          <w:b/>
          <w:bCs/>
          <w:kern w:val="0"/>
          <w:sz w:val="28"/>
          <w:szCs w:val="28"/>
          <w:lang w:val="zh-CN"/>
        </w:rPr>
        <w:t>——</w:t>
      </w:r>
      <w:r>
        <w:rPr>
          <w:rFonts w:hint="eastAsia" w:ascii="宋体" w:hAnsi="??_GB2312" w:eastAsia="宋体" w:cs="宋体"/>
          <w:b/>
          <w:bCs/>
          <w:kern w:val="0"/>
          <w:sz w:val="28"/>
          <w:szCs w:val="28"/>
        </w:rPr>
        <w:t>花开阳光下，抗疫心动力</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庚子新年，一场突如其来的新冠疫情席卷全国，全国中小学都延迟开学。在这个特殊的假期里，每位学生不仅要面对严峻疫情带来的心理冲击，还要应对在线学习的挑战。在党和国家的坚强领导和科学部署下，全国上下众志成城抗击疫情，疫情逐渐得到有效控制，全国中小学也陆续开学。为实现学生的心理“复位”，我校从宣传、学习和活动三个方面下手，加强学生的心理健康教育。</w:t>
      </w:r>
    </w:p>
    <w:p>
      <w:pPr>
        <w:autoSpaceDE w:val="0"/>
        <w:autoSpaceDN w:val="0"/>
        <w:adjustRightInd w:val="0"/>
        <w:spacing w:line="480" w:lineRule="exact"/>
        <w:ind w:firstLine="570"/>
        <w:rPr>
          <w:rFonts w:ascii="宋体" w:hAnsi="??_GB2312" w:eastAsia="宋体" w:cs="宋体"/>
          <w:kern w:val="0"/>
          <w:sz w:val="28"/>
          <w:szCs w:val="28"/>
          <w:lang w:val="zh-CN"/>
        </w:rPr>
      </w:pPr>
      <w:r>
        <w:rPr>
          <w:rFonts w:hint="eastAsia" w:ascii="宋体" w:hAnsi="??_GB2312" w:eastAsia="宋体" w:cs="宋体"/>
          <w:kern w:val="0"/>
          <w:sz w:val="28"/>
          <w:szCs w:val="28"/>
          <w:lang w:val="zh-CN"/>
        </w:rPr>
        <w:t>在宣传方面，利用校园橱窗、移动展板、黑板报、广播站等传播媒介，进行心理保健知识宣传，营造积极健康的防疫氛围。</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lang w:val="zh-CN"/>
        </w:rPr>
        <w:t>在学习方面，先后组织</w:t>
      </w:r>
      <w:r>
        <w:rPr>
          <w:rFonts w:hint="eastAsia" w:ascii="宋体" w:hAnsi="??_GB2312" w:eastAsia="宋体" w:cs="宋体"/>
          <w:kern w:val="0"/>
          <w:sz w:val="28"/>
          <w:szCs w:val="28"/>
        </w:rPr>
        <w:t>班主任和班级心理委员学习《青少年心理危机识别与干预》和《中小学生心理调适20问》，号召家长在线学习《疫情下亲子教养的思考》系列微课。</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在活动方面，我校从心理健康教育活动、心理辅导和危机干预三个方面协同开展，系统推进。在心理健康教育活动方面，先后开展了“重温旧梦，播种新梦”、我的心理“疫苗”——寻找小确幸、观看心理电影、“青春正飞扬，青年勇担当”成人礼、心理剧比赛、心理微电影比赛等系列活动。其中，我校心理微电影《阳光未撒到的角落》和《重生》分别获得苏州市职业学校校园心理微电影比赛一、二等奖，心理剧《“疫”路心声》获得昆山中小学心理剧比赛二等奖。在心理辅导方面，除了个别辅导之外，我校还针对不同年级的学生开展了不同主题的心理团辅活动。比如，针对高一新生适应性问题，先后开展了“新学期 心适应”、“我的信任之旅”等主题团辅活动；针对高二学生学习倦怠问题，先后开展了“新学期 心动力”、“和拖延说拜拜”等主题团辅活动；针对高三学生的学习压力问题，先后开展了“抗疫逆行，一路有我”、“调一调心灵的弦”等系列减压赋能团辅活动。在危机干预方面，我校在学生复学两周后对学生开展了心理健康普测活动，对结果异常的学生及时干预。</w:t>
      </w:r>
    </w:p>
    <w:p>
      <w:pPr>
        <w:autoSpaceDE w:val="0"/>
        <w:autoSpaceDN w:val="0"/>
        <w:adjustRightInd w:val="0"/>
        <w:spacing w:line="480" w:lineRule="exact"/>
        <w:ind w:firstLine="570"/>
        <w:rPr>
          <w:rFonts w:ascii="宋体" w:hAnsi="??_GB2312" w:eastAsia="宋体" w:cs="宋体"/>
          <w:kern w:val="0"/>
          <w:sz w:val="28"/>
          <w:szCs w:val="28"/>
        </w:rPr>
      </w:pPr>
      <w:r>
        <w:rPr>
          <w:rFonts w:hint="eastAsia" w:ascii="宋体" w:hAnsi="??_GB2312" w:eastAsia="宋体" w:cs="宋体"/>
          <w:kern w:val="0"/>
          <w:sz w:val="28"/>
          <w:szCs w:val="28"/>
        </w:rPr>
        <w:t>在丰富多彩的心理活动的影响下，同学们能够正确认识逆境与挫折，及时调整情绪状态，相互给予关爱支持，以自尊自信、理性平和、积极向上的健康心态主动应对当下的学习和生活。</w:t>
      </w:r>
    </w:p>
    <w:p>
      <w:pPr>
        <w:autoSpaceDE w:val="0"/>
        <w:autoSpaceDN w:val="0"/>
        <w:adjustRightInd w:val="0"/>
        <w:spacing w:line="480" w:lineRule="exact"/>
        <w:ind w:firstLine="570"/>
        <w:rPr>
          <w:rFonts w:ascii="宋体" w:hAnsi="??_GB2312" w:eastAsia="宋体" w:cs="宋体"/>
          <w:kern w:val="0"/>
          <w:sz w:val="28"/>
          <w:szCs w:val="28"/>
        </w:rPr>
      </w:pPr>
    </w:p>
    <w:p>
      <w:pPr>
        <w:rPr>
          <w:rFonts w:ascii="Helvetica" w:hAnsi="Helvetica" w:eastAsia="宋体" w:cs="Helvetica"/>
          <w:color w:val="3E3E3E"/>
          <w:sz w:val="24"/>
          <w:szCs w:val="24"/>
          <w:shd w:val="clear" w:color="auto" w:fill="FFFFFF"/>
        </w:rPr>
      </w:pPr>
      <w:r>
        <w:rPr>
          <w:rFonts w:ascii="Helvetica" w:hAnsi="Helvetica" w:eastAsia="宋体" w:cs="Helvetica"/>
          <w:color w:val="3E3E3E"/>
          <w:sz w:val="24"/>
          <w:szCs w:val="24"/>
          <w:shd w:val="clear" w:color="auto" w:fill="FFFFFF"/>
        </w:rPr>
        <w:drawing>
          <wp:inline distT="0" distB="0" distL="114300" distR="114300">
            <wp:extent cx="4991100" cy="3743960"/>
            <wp:effectExtent l="0" t="0" r="0" b="8890"/>
            <wp:docPr id="12" name="图片 12" descr="IMG_20201016_13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1016_131112"/>
                    <pic:cNvPicPr>
                      <a:picLocks noChangeAspect="1"/>
                    </pic:cNvPicPr>
                  </pic:nvPicPr>
                  <pic:blipFill>
                    <a:blip r:embed="rId20"/>
                    <a:stretch>
                      <a:fillRect/>
                    </a:stretch>
                  </pic:blipFill>
                  <pic:spPr>
                    <a:xfrm>
                      <a:off x="0" y="0"/>
                      <a:ext cx="4991100" cy="3743960"/>
                    </a:xfrm>
                    <a:prstGeom prst="rect">
                      <a:avLst/>
                    </a:prstGeom>
                  </pic:spPr>
                </pic:pic>
              </a:graphicData>
            </a:graphic>
          </wp:inline>
        </w:drawing>
      </w:r>
    </w:p>
    <w:p>
      <w:pPr>
        <w:rPr>
          <w:rFonts w:ascii="Helvetica" w:hAnsi="Helvetica" w:eastAsia="宋体" w:cs="Helvetica"/>
          <w:color w:val="3E3E3E"/>
          <w:sz w:val="24"/>
          <w:szCs w:val="24"/>
          <w:shd w:val="clear" w:color="auto" w:fill="FFFFFF"/>
        </w:rPr>
      </w:pPr>
      <w:r>
        <w:rPr>
          <w:rFonts w:hint="eastAsia" w:ascii="Helvetica" w:hAnsi="Helvetica" w:eastAsia="宋体" w:cs="Helvetica"/>
          <w:color w:val="3E3E3E"/>
          <w:sz w:val="24"/>
          <w:szCs w:val="24"/>
          <w:shd w:val="clear" w:color="auto" w:fill="FFFFFF"/>
        </w:rPr>
        <w:t>图1：“调一调心灵的弦”团辅活动——高三学生在心理老师的引导下，借助OH卡牌绘画当下的所思所想。</w:t>
      </w:r>
    </w:p>
    <w:p>
      <w:pPr>
        <w:rPr>
          <w:rFonts w:ascii="Helvetica" w:hAnsi="Helvetica" w:eastAsia="宋体" w:cs="Helvetica"/>
          <w:color w:val="3E3E3E"/>
          <w:sz w:val="24"/>
          <w:szCs w:val="24"/>
          <w:shd w:val="clear" w:color="auto" w:fill="FFFFFF"/>
        </w:rPr>
      </w:pPr>
    </w:p>
    <w:p>
      <w:pPr>
        <w:rPr>
          <w:rFonts w:ascii="Helvetica" w:hAnsi="Helvetica" w:eastAsia="宋体" w:cs="Helvetica"/>
          <w:color w:val="3E3E3E"/>
          <w:sz w:val="24"/>
          <w:szCs w:val="24"/>
          <w:shd w:val="clear" w:color="auto" w:fill="FFFFFF"/>
        </w:rPr>
      </w:pPr>
      <w:r>
        <w:rPr>
          <w:rFonts w:hint="eastAsia" w:ascii="Helvetica" w:hAnsi="Helvetica" w:eastAsia="宋体" w:cs="Helvetica"/>
          <w:color w:val="3E3E3E"/>
          <w:sz w:val="24"/>
          <w:szCs w:val="24"/>
          <w:shd w:val="clear" w:color="auto" w:fill="FFFFFF"/>
        </w:rPr>
        <w:drawing>
          <wp:inline distT="0" distB="0" distL="114300" distR="114300">
            <wp:extent cx="5253990" cy="2949575"/>
            <wp:effectExtent l="0" t="0" r="3810" b="3175"/>
            <wp:docPr id="13" name="图片 13" descr="IMG_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528"/>
                    <pic:cNvPicPr>
                      <a:picLocks noChangeAspect="1"/>
                    </pic:cNvPicPr>
                  </pic:nvPicPr>
                  <pic:blipFill>
                    <a:blip r:embed="rId21"/>
                    <a:stretch>
                      <a:fillRect/>
                    </a:stretch>
                  </pic:blipFill>
                  <pic:spPr>
                    <a:xfrm>
                      <a:off x="0" y="0"/>
                      <a:ext cx="5253990" cy="2949575"/>
                    </a:xfrm>
                    <a:prstGeom prst="rect">
                      <a:avLst/>
                    </a:prstGeom>
                  </pic:spPr>
                </pic:pic>
              </a:graphicData>
            </a:graphic>
          </wp:inline>
        </w:drawing>
      </w:r>
    </w:p>
    <w:p>
      <w:pPr>
        <w:rPr>
          <w:rFonts w:ascii="Helvetica" w:hAnsi="Helvetica" w:eastAsia="宋体" w:cs="Helvetica"/>
          <w:color w:val="3E3E3E"/>
          <w:sz w:val="24"/>
          <w:szCs w:val="24"/>
          <w:shd w:val="clear" w:color="auto" w:fill="FFFFFF"/>
        </w:rPr>
      </w:pPr>
      <w:r>
        <w:rPr>
          <w:rFonts w:hint="eastAsia" w:ascii="Helvetica" w:hAnsi="Helvetica" w:eastAsia="宋体" w:cs="Helvetica"/>
          <w:color w:val="3E3E3E"/>
          <w:sz w:val="24"/>
          <w:szCs w:val="24"/>
          <w:shd w:val="clear" w:color="auto" w:fill="FFFFFF"/>
        </w:rPr>
        <w:t>图2：“重温旧梦，播种新梦”活动——班主任带着学生重温去年播种的梦想，播种今年的新目标。</w:t>
      </w:r>
    </w:p>
    <w:p>
      <w:pPr>
        <w:autoSpaceDE w:val="0"/>
        <w:autoSpaceDN w:val="0"/>
        <w:adjustRightInd w:val="0"/>
        <w:spacing w:line="480" w:lineRule="exact"/>
        <w:ind w:firstLine="570"/>
        <w:rPr>
          <w:rFonts w:ascii="宋体" w:hAnsi="??_GB2312" w:eastAsia="宋体" w:cs="宋体"/>
          <w:b/>
          <w:bCs/>
          <w:kern w:val="0"/>
          <w:sz w:val="28"/>
          <w:szCs w:val="28"/>
          <w:lang w:val="zh-CN"/>
        </w:rPr>
      </w:pPr>
    </w:p>
    <w:p>
      <w:pPr>
        <w:numPr>
          <w:ilvl w:val="0"/>
          <w:numId w:val="1"/>
        </w:numPr>
        <w:autoSpaceDE w:val="0"/>
        <w:autoSpaceDN w:val="0"/>
        <w:adjustRightInd w:val="0"/>
        <w:spacing w:line="480" w:lineRule="exact"/>
        <w:ind w:firstLine="559" w:firstLineChars="199"/>
        <w:outlineLvl w:val="0"/>
        <w:rPr>
          <w:rFonts w:ascii="宋体" w:hAnsi="??_GB2312" w:eastAsia="宋体" w:cs="宋体"/>
          <w:b/>
          <w:bCs/>
          <w:kern w:val="0"/>
          <w:sz w:val="28"/>
          <w:szCs w:val="28"/>
          <w:lang w:val="zh-CN"/>
        </w:rPr>
      </w:pPr>
      <w:bookmarkStart w:id="195" w:name="_Toc20814"/>
      <w:r>
        <w:rPr>
          <w:rFonts w:hint="eastAsia" w:ascii="宋体" w:hAnsi="??_GB2312" w:eastAsia="宋体" w:cs="宋体"/>
          <w:b/>
          <w:bCs/>
          <w:kern w:val="0"/>
          <w:sz w:val="28"/>
          <w:szCs w:val="28"/>
          <w:lang w:val="zh-CN"/>
        </w:rPr>
        <w:t>主要问题和改进措施</w:t>
      </w:r>
      <w:bookmarkEnd w:id="195"/>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目前人才培养方面主要存在一些问题，</w:t>
      </w:r>
      <w:r>
        <w:rPr>
          <w:rFonts w:hint="eastAsia" w:ascii="宋体" w:hAnsi="??_GB2312" w:eastAsia="宋体" w:cs="宋体"/>
          <w:b/>
          <w:bCs/>
          <w:kern w:val="0"/>
          <w:sz w:val="28"/>
          <w:szCs w:val="28"/>
          <w:lang w:val="zh-CN"/>
        </w:rPr>
        <w:t>一是教师下企业顶岗锻炼的问题</w:t>
      </w:r>
      <w:r>
        <w:rPr>
          <w:rFonts w:hint="eastAsia" w:ascii="宋体" w:hAnsi="??_GB2312" w:eastAsia="宋体" w:cs="宋体"/>
          <w:kern w:val="0"/>
          <w:sz w:val="28"/>
          <w:szCs w:val="28"/>
          <w:lang w:val="zh-CN"/>
        </w:rPr>
        <w:t>。学校需要提高</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双师型</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教师比例，强化专业教师的职业技能，但是如果按规定选派多名教师下企业实习，那么学校的课务安排就会紧张，学校正常的教学秩序就会被打乱；同时，教师下企业顶岗，又会打乱企业正常的生产秩序，所以企业积极性不高。</w:t>
      </w:r>
      <w:r>
        <w:rPr>
          <w:rFonts w:hint="eastAsia" w:ascii="宋体" w:hAnsi="??_GB2312" w:eastAsia="宋体" w:cs="宋体"/>
          <w:b/>
          <w:bCs/>
          <w:kern w:val="0"/>
          <w:sz w:val="28"/>
          <w:szCs w:val="28"/>
          <w:lang w:val="zh-CN"/>
        </w:rPr>
        <w:t>二是工学结合出现的问题。</w:t>
      </w:r>
      <w:r>
        <w:rPr>
          <w:rFonts w:hint="eastAsia" w:ascii="宋体" w:hAnsi="??_GB2312" w:eastAsia="宋体" w:cs="宋体"/>
          <w:kern w:val="0"/>
          <w:sz w:val="28"/>
          <w:szCs w:val="28"/>
          <w:lang w:val="zh-CN"/>
        </w:rPr>
        <w:t>学校希望建立长效的校企合作机制，选派学生下企业顶岗实习，学习最新的技术和知识，但是企业通常只在</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用工荒</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的时候需要顶岗的学生，其余时间则热情不高。</w:t>
      </w:r>
      <w:r>
        <w:rPr>
          <w:rFonts w:hint="eastAsia" w:ascii="宋体" w:hAnsi="??_GB2312" w:eastAsia="宋体" w:cs="宋体"/>
          <w:b/>
          <w:bCs/>
          <w:kern w:val="0"/>
          <w:sz w:val="28"/>
          <w:szCs w:val="28"/>
          <w:lang w:val="zh-CN"/>
        </w:rPr>
        <w:t>三是兼职教师队伍建设的问题。</w:t>
      </w:r>
      <w:r>
        <w:rPr>
          <w:rFonts w:hint="eastAsia" w:ascii="宋体" w:hAnsi="??_GB2312" w:eastAsia="宋体" w:cs="宋体"/>
          <w:kern w:val="0"/>
          <w:sz w:val="28"/>
          <w:szCs w:val="28"/>
          <w:lang w:val="zh-CN"/>
        </w:rPr>
        <w:t>学校希望聘用有实践经验的行业专家、技术人员和社会能工巧匠担任兼职教师，参与校内教学工作及校外实训基地实习学生的管理，以优化</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双师</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结构，但是企业是否会积极配合，在工时、工酬、待遇等方面都存在很多困难，这就造成校企合作中学校的被动。</w:t>
      </w:r>
    </w:p>
    <w:p>
      <w:pPr>
        <w:autoSpaceDE w:val="0"/>
        <w:autoSpaceDN w:val="0"/>
        <w:adjustRightInd w:val="0"/>
        <w:spacing w:line="480" w:lineRule="exact"/>
        <w:ind w:firstLine="570"/>
        <w:rPr>
          <w:rFonts w:ascii="??_GB2312" w:hAnsi="??_GB2312" w:eastAsia="宋体" w:cs="??_GB2312"/>
          <w:kern w:val="0"/>
          <w:sz w:val="28"/>
          <w:szCs w:val="28"/>
        </w:rPr>
      </w:pPr>
      <w:r>
        <w:rPr>
          <w:rFonts w:hint="eastAsia" w:ascii="宋体" w:hAnsi="??_GB2312" w:eastAsia="宋体" w:cs="宋体"/>
          <w:kern w:val="0"/>
          <w:sz w:val="28"/>
          <w:szCs w:val="28"/>
          <w:lang w:val="zh-CN"/>
        </w:rPr>
        <w:t>我们希望，政府能加强对职业教育的引导和扶持，鼓励企业办学、校企合作，出台相关的政策来强化企业的社会责任感，同时制定出台教师下企业、技师进学校的相关政策，为校企合作搭建平台，以促进职业教育的发展。同时，希望政府能推动教育制度和劳动制度的配套改革，完善就业准入制度，推行</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先培训、后就业</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先培训、后上岗</w:t>
      </w:r>
      <w:r>
        <w:rPr>
          <w:rFonts w:ascii="宋体" w:hAnsi="??_GB2312" w:eastAsia="宋体" w:cs="宋体"/>
          <w:kern w:val="0"/>
          <w:sz w:val="28"/>
          <w:szCs w:val="28"/>
          <w:lang w:val="zh-CN"/>
        </w:rPr>
        <w:t>”</w:t>
      </w:r>
      <w:r>
        <w:rPr>
          <w:rFonts w:hint="eastAsia" w:ascii="宋体" w:hAnsi="??_GB2312" w:eastAsia="宋体" w:cs="宋体"/>
          <w:kern w:val="0"/>
          <w:sz w:val="28"/>
          <w:szCs w:val="28"/>
          <w:lang w:val="zh-CN"/>
        </w:rPr>
        <w:t>的规定，以此增强职业教育吸引力。</w:t>
      </w:r>
    </w:p>
    <w:p>
      <w:pPr>
        <w:autoSpaceDE w:val="0"/>
        <w:autoSpaceDN w:val="0"/>
        <w:adjustRightInd w:val="0"/>
        <w:spacing w:line="480" w:lineRule="exact"/>
        <w:ind w:firstLine="573"/>
        <w:jc w:val="right"/>
        <w:rPr>
          <w:rFonts w:hint="eastAsia" w:ascii="宋体" w:hAnsi="??_GB2312" w:eastAsia="宋体" w:cs="宋体"/>
          <w:kern w:val="0"/>
          <w:sz w:val="28"/>
          <w:szCs w:val="28"/>
        </w:rPr>
      </w:pPr>
    </w:p>
    <w:p>
      <w:pPr>
        <w:autoSpaceDE w:val="0"/>
        <w:autoSpaceDN w:val="0"/>
        <w:adjustRightInd w:val="0"/>
        <w:spacing w:line="480" w:lineRule="exact"/>
        <w:ind w:firstLine="573"/>
        <w:jc w:val="right"/>
        <w:rPr>
          <w:rFonts w:ascii="宋体" w:hAnsi="??_GB2312" w:eastAsia="宋体" w:cs="宋体"/>
          <w:kern w:val="0"/>
          <w:sz w:val="28"/>
          <w:szCs w:val="28"/>
        </w:rPr>
      </w:pPr>
      <w:r>
        <w:rPr>
          <w:rFonts w:hint="eastAsia" w:ascii="宋体" w:hAnsi="??_GB2312" w:eastAsia="宋体" w:cs="宋体"/>
          <w:kern w:val="0"/>
          <w:sz w:val="28"/>
          <w:szCs w:val="28"/>
        </w:rPr>
        <w:t>2020年12月25日</w:t>
      </w:r>
    </w:p>
    <w:sectPr>
      <w:pgSz w:w="11906" w:h="16838"/>
      <w:pgMar w:top="1417" w:right="1417"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Style w:val="9"/>
                            </w:rPr>
                          </w:pPr>
                          <w:r>
                            <w:rPr>
                              <w:rStyle w:val="9"/>
                            </w:rPr>
                            <w:fldChar w:fldCharType="begin"/>
                          </w:r>
                          <w:r>
                            <w:rPr>
                              <w:rStyle w:val="9"/>
                            </w:rPr>
                            <w:instrText xml:space="preserve">PAGE  </w:instrText>
                          </w:r>
                          <w:r>
                            <w:rPr>
                              <w:rStyle w:val="9"/>
                            </w:rPr>
                            <w:fldChar w:fldCharType="separate"/>
                          </w:r>
                          <w:r>
                            <w:rPr>
                              <w:rStyle w:val="9"/>
                            </w:rPr>
                            <w:t>2</w:t>
                          </w:r>
                          <w:r>
                            <w:rPr>
                              <w:rStyle w:val="9"/>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pPr>
                      <w:pStyle w:val="4"/>
                      <w:rPr>
                        <w:rStyle w:val="9"/>
                      </w:rPr>
                    </w:pPr>
                    <w:r>
                      <w:rPr>
                        <w:rStyle w:val="9"/>
                      </w:rPr>
                      <w:fldChar w:fldCharType="begin"/>
                    </w:r>
                    <w:r>
                      <w:rPr>
                        <w:rStyle w:val="9"/>
                      </w:rPr>
                      <w:instrText xml:space="preserve">PAGE  </w:instrText>
                    </w:r>
                    <w:r>
                      <w:rPr>
                        <w:rStyle w:val="9"/>
                      </w:rPr>
                      <w:fldChar w:fldCharType="separate"/>
                    </w:r>
                    <w:r>
                      <w:rPr>
                        <w:rStyle w:val="9"/>
                      </w:rPr>
                      <w:t>2</w:t>
                    </w:r>
                    <w:r>
                      <w:rPr>
                        <w:rStyle w:val="9"/>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F20348"/>
    <w:multiLevelType w:val="singleLevel"/>
    <w:tmpl w:val="52F20348"/>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0C2497"/>
    <w:rsid w:val="0009575D"/>
    <w:rsid w:val="002B2935"/>
    <w:rsid w:val="0030093D"/>
    <w:rsid w:val="00501F06"/>
    <w:rsid w:val="005C2986"/>
    <w:rsid w:val="007518C5"/>
    <w:rsid w:val="00770779"/>
    <w:rsid w:val="007A0870"/>
    <w:rsid w:val="007F7ABC"/>
    <w:rsid w:val="00940FF3"/>
    <w:rsid w:val="00A5047D"/>
    <w:rsid w:val="00A6619C"/>
    <w:rsid w:val="00B850F4"/>
    <w:rsid w:val="06C616F8"/>
    <w:rsid w:val="0B5B366C"/>
    <w:rsid w:val="0C8702CC"/>
    <w:rsid w:val="110138B2"/>
    <w:rsid w:val="1E02089B"/>
    <w:rsid w:val="328D0234"/>
    <w:rsid w:val="34652B75"/>
    <w:rsid w:val="406B5052"/>
    <w:rsid w:val="463C319C"/>
    <w:rsid w:val="47432BE5"/>
    <w:rsid w:val="480C2497"/>
    <w:rsid w:val="48753CD7"/>
    <w:rsid w:val="497E4AD5"/>
    <w:rsid w:val="4B1535D1"/>
    <w:rsid w:val="5FBE04DA"/>
    <w:rsid w:val="6958490C"/>
    <w:rsid w:val="79240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unhideWhenUsed/>
    <w:qFormat/>
    <w:uiPriority w:val="99"/>
    <w:pPr>
      <w:jc w:val="left"/>
    </w:pPr>
    <w:rPr>
      <w:rFonts w:ascii="Calibri" w:hAnsi="Calibri"/>
    </w:rPr>
  </w:style>
  <w:style w:type="paragraph" w:styleId="3">
    <w:name w:val="Balloon Text"/>
    <w:basedOn w:val="1"/>
    <w:link w:val="14"/>
    <w:qFormat/>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unhideWhenUsed/>
    <w:qFormat/>
    <w:uiPriority w:val="99"/>
  </w:style>
  <w:style w:type="paragraph" w:styleId="10">
    <w:name w:val="List Paragraph"/>
    <w:basedOn w:val="1"/>
    <w:qFormat/>
    <w:uiPriority w:val="34"/>
    <w:pPr>
      <w:ind w:firstLine="420" w:firstLineChars="200"/>
    </w:pPr>
  </w:style>
  <w:style w:type="paragraph" w:customStyle="1" w:styleId="11">
    <w:name w:val="WPSOffice手动目录 1"/>
    <w:qFormat/>
    <w:uiPriority w:val="0"/>
    <w:rPr>
      <w:rFonts w:ascii="Times New Roman" w:hAnsi="Times New Roman" w:eastAsia="宋体" w:cs="Times New Roman"/>
      <w:lang w:val="en-US" w:eastAsia="zh-CN" w:bidi="ar-SA"/>
    </w:rPr>
  </w:style>
  <w:style w:type="paragraph" w:customStyle="1" w:styleId="1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4">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2923</Words>
  <Characters>16666</Characters>
  <Lines>138</Lines>
  <Paragraphs>39</Paragraphs>
  <TotalTime>8</TotalTime>
  <ScaleCrop>false</ScaleCrop>
  <LinksUpToDate>false</LinksUpToDate>
  <CharactersWithSpaces>19550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2020-12-22T02:45:00Z</dcterms:created>
  <dc:creator>刘最斌</dc:creator>
  <cp:lastModifiedBy>阿斌</cp:lastModifiedBy>
  <dcterms:modified xsi:type="dcterms:W3CDTF">2021-11-10T06:54:27Z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20627245E2CD4985923D1314ED9E65C3</vt:lpwstr>
  </property>
</Properties>
</file>